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87CB" w14:textId="0764E17C" w:rsidR="00795B58" w:rsidRPr="00CC519B" w:rsidRDefault="00795B58" w:rsidP="00CC519B">
      <w:pPr>
        <w:pStyle w:val="p1"/>
        <w:spacing w:line="360" w:lineRule="auto"/>
        <w:jc w:val="center"/>
        <w:rPr>
          <w:rStyle w:val="s1"/>
          <w:rFonts w:ascii="Times New Roman" w:hAnsi="Times New Roman"/>
          <w:b/>
          <w:bCs/>
          <w:sz w:val="20"/>
          <w:szCs w:val="20"/>
        </w:rPr>
      </w:pPr>
      <w:r w:rsidRPr="00CC519B">
        <w:rPr>
          <w:rStyle w:val="s1"/>
          <w:rFonts w:ascii="Times New Roman" w:hAnsi="Times New Roman"/>
          <w:b/>
          <w:bCs/>
          <w:sz w:val="20"/>
          <w:szCs w:val="20"/>
        </w:rPr>
        <w:t xml:space="preserve">INCOMPLIANCE </w:t>
      </w:r>
      <w:r w:rsidRPr="00CC519B">
        <w:rPr>
          <w:rStyle w:val="s1"/>
          <w:rFonts w:ascii="Times New Roman" w:hAnsi="Times New Roman"/>
          <w:b/>
          <w:bCs/>
          <w:sz w:val="20"/>
          <w:szCs w:val="20"/>
          <w:lang w:val="en-US"/>
        </w:rPr>
        <w:t>OF</w:t>
      </w:r>
      <w:r w:rsidRPr="00CC519B">
        <w:rPr>
          <w:rStyle w:val="s1"/>
          <w:rFonts w:ascii="Times New Roman" w:hAnsi="Times New Roman"/>
          <w:b/>
          <w:bCs/>
          <w:sz w:val="20"/>
          <w:szCs w:val="20"/>
        </w:rPr>
        <w:t xml:space="preserve"> LAW NO. 23 OF 2014 ON LOCAL GOVERNMENTS AND LAW NO. 6 OF 2014 ON VILLAGES RELATED TO THE ROLE OF LOCAL GOVERNMENTS IN SUPPORTING VILLAGE DEVELOPMENT.</w:t>
      </w:r>
    </w:p>
    <w:p w14:paraId="1A6B10B2" w14:textId="77777777" w:rsidR="00BC71C2" w:rsidRPr="00CC519B" w:rsidRDefault="00BC71C2" w:rsidP="00CC519B">
      <w:pPr>
        <w:pStyle w:val="p1"/>
        <w:spacing w:line="360" w:lineRule="auto"/>
        <w:jc w:val="center"/>
        <w:rPr>
          <w:rFonts w:ascii="Times New Roman" w:hAnsi="Times New Roman"/>
          <w:b/>
          <w:bCs/>
          <w:sz w:val="20"/>
          <w:szCs w:val="20"/>
        </w:rPr>
      </w:pPr>
    </w:p>
    <w:p w14:paraId="2446B0A1" w14:textId="4B7EFF96" w:rsidR="00023D5A" w:rsidRPr="00CC519B" w:rsidRDefault="00BC71C2" w:rsidP="00CC519B">
      <w:pPr>
        <w:pStyle w:val="p1"/>
        <w:spacing w:line="360" w:lineRule="auto"/>
        <w:jc w:val="center"/>
        <w:rPr>
          <w:rStyle w:val="s1"/>
          <w:rFonts w:ascii="Times New Roman" w:hAnsi="Times New Roman"/>
          <w:b/>
          <w:bCs/>
          <w:i/>
          <w:iCs/>
          <w:sz w:val="20"/>
          <w:szCs w:val="20"/>
          <w:lang w:val="en-US"/>
        </w:rPr>
      </w:pPr>
      <w:proofErr w:type="spellStart"/>
      <w:r w:rsidRPr="00CC519B">
        <w:rPr>
          <w:rStyle w:val="s1"/>
          <w:rFonts w:ascii="Times New Roman" w:hAnsi="Times New Roman"/>
          <w:b/>
          <w:bCs/>
          <w:i/>
          <w:iCs/>
          <w:sz w:val="20"/>
          <w:szCs w:val="20"/>
          <w:lang w:val="en-US"/>
        </w:rPr>
        <w:t>Muchammad</w:t>
      </w:r>
      <w:proofErr w:type="spellEnd"/>
      <w:r w:rsidRPr="00CC519B">
        <w:rPr>
          <w:rStyle w:val="s1"/>
          <w:rFonts w:ascii="Times New Roman" w:hAnsi="Times New Roman"/>
          <w:b/>
          <w:bCs/>
          <w:i/>
          <w:iCs/>
          <w:sz w:val="20"/>
          <w:szCs w:val="20"/>
          <w:lang w:val="en-US"/>
        </w:rPr>
        <w:t xml:space="preserve"> Akmal Al </w:t>
      </w:r>
      <w:proofErr w:type="spellStart"/>
      <w:r w:rsidRPr="00CC519B">
        <w:rPr>
          <w:rStyle w:val="s1"/>
          <w:rFonts w:ascii="Times New Roman" w:hAnsi="Times New Roman"/>
          <w:b/>
          <w:bCs/>
          <w:i/>
          <w:iCs/>
          <w:sz w:val="20"/>
          <w:szCs w:val="20"/>
          <w:lang w:val="en-US"/>
        </w:rPr>
        <w:t>Khaysi</w:t>
      </w:r>
      <w:proofErr w:type="spellEnd"/>
      <w:r w:rsidRPr="00CC519B">
        <w:rPr>
          <w:rStyle w:val="s1"/>
          <w:rFonts w:ascii="Times New Roman" w:hAnsi="Times New Roman"/>
          <w:b/>
          <w:bCs/>
          <w:i/>
          <w:iCs/>
          <w:sz w:val="20"/>
          <w:szCs w:val="20"/>
          <w:lang w:val="en-US"/>
        </w:rPr>
        <w:t>’</w:t>
      </w:r>
    </w:p>
    <w:p w14:paraId="62200138" w14:textId="177462B6" w:rsidR="00BC71C2" w:rsidRPr="00CC519B" w:rsidRDefault="00521CFD" w:rsidP="00CC519B">
      <w:pPr>
        <w:pStyle w:val="p1"/>
        <w:spacing w:line="360" w:lineRule="auto"/>
        <w:jc w:val="center"/>
        <w:rPr>
          <w:rStyle w:val="s1"/>
          <w:rFonts w:ascii="Times New Roman" w:hAnsi="Times New Roman"/>
          <w:sz w:val="20"/>
          <w:szCs w:val="20"/>
          <w:lang w:val="en-US"/>
        </w:rPr>
      </w:pPr>
      <w:bookmarkStart w:id="0" w:name="_Hlk106003000"/>
      <w:r w:rsidRPr="00CC519B">
        <w:rPr>
          <w:rStyle w:val="s1"/>
          <w:rFonts w:ascii="Times New Roman" w:hAnsi="Times New Roman"/>
          <w:sz w:val="20"/>
          <w:szCs w:val="20"/>
          <w:lang w:val="en-US"/>
        </w:rPr>
        <w:t xml:space="preserve">Universitas 17 </w:t>
      </w:r>
      <w:proofErr w:type="spellStart"/>
      <w:r w:rsidRPr="00CC519B">
        <w:rPr>
          <w:rStyle w:val="s1"/>
          <w:rFonts w:ascii="Times New Roman" w:hAnsi="Times New Roman"/>
          <w:sz w:val="20"/>
          <w:szCs w:val="20"/>
          <w:lang w:val="en-US"/>
        </w:rPr>
        <w:t>Agustus</w:t>
      </w:r>
      <w:proofErr w:type="spellEnd"/>
      <w:r w:rsidRPr="00CC519B">
        <w:rPr>
          <w:rStyle w:val="s1"/>
          <w:rFonts w:ascii="Times New Roman" w:hAnsi="Times New Roman"/>
          <w:sz w:val="20"/>
          <w:szCs w:val="20"/>
          <w:lang w:val="en-US"/>
        </w:rPr>
        <w:t xml:space="preserve"> 1945 Surabaya, Indonesia</w:t>
      </w:r>
    </w:p>
    <w:p w14:paraId="66FBA69F" w14:textId="7E31584D" w:rsidR="00E424BD" w:rsidRPr="00CC519B" w:rsidRDefault="00B73003" w:rsidP="00CC519B">
      <w:pPr>
        <w:pStyle w:val="p1"/>
        <w:spacing w:line="360" w:lineRule="auto"/>
        <w:jc w:val="center"/>
        <w:rPr>
          <w:rStyle w:val="s1"/>
          <w:rFonts w:ascii="Times New Roman" w:hAnsi="Times New Roman"/>
          <w:sz w:val="20"/>
          <w:szCs w:val="20"/>
        </w:rPr>
      </w:pPr>
      <w:r w:rsidRPr="00CC519B">
        <w:rPr>
          <w:rStyle w:val="s1"/>
          <w:rFonts w:ascii="Times New Roman" w:hAnsi="Times New Roman"/>
          <w:sz w:val="20"/>
          <w:szCs w:val="20"/>
        </w:rPr>
        <w:t>alakmal345@gamil.con</w:t>
      </w:r>
    </w:p>
    <w:bookmarkEnd w:id="0"/>
    <w:p w14:paraId="32BCBEF8" w14:textId="0DF70930" w:rsidR="00521CFD" w:rsidRPr="00CC519B" w:rsidRDefault="00521CFD" w:rsidP="00CC519B">
      <w:pPr>
        <w:pStyle w:val="p1"/>
        <w:spacing w:line="360" w:lineRule="auto"/>
        <w:jc w:val="center"/>
        <w:rPr>
          <w:rStyle w:val="s1"/>
          <w:rFonts w:ascii="Times New Roman" w:hAnsi="Times New Roman"/>
          <w:sz w:val="20"/>
          <w:szCs w:val="20"/>
          <w:lang w:val="en-US"/>
        </w:rPr>
      </w:pPr>
    </w:p>
    <w:p w14:paraId="592828CA" w14:textId="21ED57DA" w:rsidR="00521CFD" w:rsidRPr="00CC519B" w:rsidRDefault="00521CFD" w:rsidP="00CC519B">
      <w:pPr>
        <w:pStyle w:val="p1"/>
        <w:spacing w:line="360" w:lineRule="auto"/>
        <w:jc w:val="center"/>
        <w:rPr>
          <w:rStyle w:val="s1"/>
          <w:rFonts w:ascii="Times New Roman" w:hAnsi="Times New Roman"/>
          <w:b/>
          <w:bCs/>
          <w:i/>
          <w:iCs/>
          <w:sz w:val="20"/>
          <w:szCs w:val="20"/>
          <w:lang w:val="en-US"/>
        </w:rPr>
      </w:pPr>
      <w:proofErr w:type="spellStart"/>
      <w:r w:rsidRPr="00CC519B">
        <w:rPr>
          <w:rStyle w:val="s1"/>
          <w:rFonts w:ascii="Times New Roman" w:hAnsi="Times New Roman"/>
          <w:b/>
          <w:bCs/>
          <w:i/>
          <w:iCs/>
          <w:sz w:val="20"/>
          <w:szCs w:val="20"/>
          <w:lang w:val="en-US"/>
        </w:rPr>
        <w:t>Tomy</w:t>
      </w:r>
      <w:proofErr w:type="spellEnd"/>
      <w:r w:rsidRPr="00CC519B">
        <w:rPr>
          <w:rStyle w:val="s1"/>
          <w:rFonts w:ascii="Times New Roman" w:hAnsi="Times New Roman"/>
          <w:b/>
          <w:bCs/>
          <w:i/>
          <w:iCs/>
          <w:sz w:val="20"/>
          <w:szCs w:val="20"/>
          <w:lang w:val="en-US"/>
        </w:rPr>
        <w:t xml:space="preserve"> Michael</w:t>
      </w:r>
    </w:p>
    <w:p w14:paraId="29500895" w14:textId="66F3F3C6" w:rsidR="00521CFD" w:rsidRPr="00CC519B" w:rsidRDefault="00521CFD" w:rsidP="00CC519B">
      <w:pPr>
        <w:pStyle w:val="p1"/>
        <w:spacing w:line="360" w:lineRule="auto"/>
        <w:jc w:val="center"/>
        <w:rPr>
          <w:rStyle w:val="s1"/>
          <w:rFonts w:ascii="Times New Roman" w:hAnsi="Times New Roman"/>
          <w:sz w:val="20"/>
          <w:szCs w:val="20"/>
          <w:lang w:val="en-US"/>
        </w:rPr>
      </w:pPr>
      <w:r w:rsidRPr="00CC519B">
        <w:rPr>
          <w:rStyle w:val="s1"/>
          <w:rFonts w:ascii="Times New Roman" w:hAnsi="Times New Roman"/>
          <w:sz w:val="20"/>
          <w:szCs w:val="20"/>
          <w:lang w:val="en-US"/>
        </w:rPr>
        <w:t xml:space="preserve">Universitas 17 </w:t>
      </w:r>
      <w:proofErr w:type="spellStart"/>
      <w:r w:rsidRPr="00CC519B">
        <w:rPr>
          <w:rStyle w:val="s1"/>
          <w:rFonts w:ascii="Times New Roman" w:hAnsi="Times New Roman"/>
          <w:sz w:val="20"/>
          <w:szCs w:val="20"/>
          <w:lang w:val="en-US"/>
        </w:rPr>
        <w:t>Agustus</w:t>
      </w:r>
      <w:proofErr w:type="spellEnd"/>
      <w:r w:rsidRPr="00CC519B">
        <w:rPr>
          <w:rStyle w:val="s1"/>
          <w:rFonts w:ascii="Times New Roman" w:hAnsi="Times New Roman"/>
          <w:sz w:val="20"/>
          <w:szCs w:val="20"/>
          <w:lang w:val="en-US"/>
        </w:rPr>
        <w:t xml:space="preserve"> 1945 Surabaya, Indonesia</w:t>
      </w:r>
    </w:p>
    <w:p w14:paraId="37DBE592" w14:textId="7CA11460" w:rsidR="00E424BD" w:rsidRPr="00CC519B" w:rsidRDefault="00E424BD" w:rsidP="00CC519B">
      <w:pPr>
        <w:pStyle w:val="p1"/>
        <w:spacing w:line="360" w:lineRule="auto"/>
        <w:jc w:val="center"/>
        <w:rPr>
          <w:rStyle w:val="s1"/>
          <w:rFonts w:ascii="Times New Roman" w:hAnsi="Times New Roman"/>
          <w:sz w:val="20"/>
          <w:szCs w:val="20"/>
          <w:lang w:val="en-US"/>
        </w:rPr>
      </w:pPr>
      <w:r w:rsidRPr="00CC519B">
        <w:rPr>
          <w:rStyle w:val="s1"/>
          <w:rFonts w:ascii="Times New Roman" w:hAnsi="Times New Roman"/>
          <w:sz w:val="20"/>
          <w:szCs w:val="20"/>
          <w:lang w:val="en-US"/>
        </w:rPr>
        <w:t>Tomy@untag-sby.ac.id</w:t>
      </w:r>
    </w:p>
    <w:p w14:paraId="46F2C935" w14:textId="77777777" w:rsidR="00023D5A" w:rsidRPr="00CC519B" w:rsidRDefault="00023D5A" w:rsidP="00CC519B">
      <w:pPr>
        <w:pStyle w:val="p1"/>
        <w:spacing w:line="360" w:lineRule="auto"/>
        <w:jc w:val="both"/>
        <w:rPr>
          <w:rStyle w:val="s1"/>
          <w:rFonts w:ascii="Times New Roman" w:hAnsi="Times New Roman"/>
          <w:sz w:val="20"/>
          <w:szCs w:val="20"/>
        </w:rPr>
      </w:pPr>
    </w:p>
    <w:p w14:paraId="6B1DE359" w14:textId="440B763B" w:rsidR="00023D5A" w:rsidRPr="00CC519B" w:rsidRDefault="00795B58" w:rsidP="00CC519B">
      <w:pPr>
        <w:pStyle w:val="p1"/>
        <w:spacing w:line="360" w:lineRule="auto"/>
        <w:jc w:val="center"/>
        <w:rPr>
          <w:rStyle w:val="s1"/>
          <w:rFonts w:ascii="Times New Roman" w:hAnsi="Times New Roman"/>
          <w:b/>
          <w:bCs/>
          <w:sz w:val="20"/>
          <w:szCs w:val="20"/>
          <w:lang w:val="en-US"/>
        </w:rPr>
      </w:pPr>
      <w:r w:rsidRPr="00CC519B">
        <w:rPr>
          <w:rStyle w:val="s1"/>
          <w:rFonts w:ascii="Times New Roman" w:hAnsi="Times New Roman"/>
          <w:b/>
          <w:bCs/>
          <w:sz w:val="20"/>
          <w:szCs w:val="20"/>
        </w:rPr>
        <w:t>Abstrac</w:t>
      </w:r>
      <w:r w:rsidRPr="00CC519B">
        <w:rPr>
          <w:rStyle w:val="s1"/>
          <w:rFonts w:ascii="Times New Roman" w:hAnsi="Times New Roman"/>
          <w:b/>
          <w:bCs/>
          <w:sz w:val="20"/>
          <w:szCs w:val="20"/>
          <w:lang w:val="en-US"/>
        </w:rPr>
        <w:t>t</w:t>
      </w:r>
    </w:p>
    <w:p w14:paraId="7097AAF7" w14:textId="3063B32F" w:rsidR="00795B58" w:rsidRPr="00CC519B" w:rsidRDefault="00795B58" w:rsidP="00CC519B">
      <w:pPr>
        <w:pStyle w:val="p1"/>
        <w:spacing w:line="360" w:lineRule="auto"/>
        <w:jc w:val="both"/>
        <w:rPr>
          <w:rStyle w:val="s1"/>
          <w:rFonts w:ascii="Times New Roman" w:hAnsi="Times New Roman"/>
          <w:sz w:val="20"/>
          <w:szCs w:val="20"/>
          <w:lang w:val="en-US"/>
        </w:rPr>
      </w:pPr>
      <w:r w:rsidRPr="00CC519B">
        <w:rPr>
          <w:rStyle w:val="s1"/>
          <w:rFonts w:ascii="Times New Roman" w:hAnsi="Times New Roman"/>
          <w:sz w:val="20"/>
          <w:szCs w:val="20"/>
        </w:rPr>
        <w:t xml:space="preserve">Law Number 6 of 2014 </w:t>
      </w:r>
      <w:r w:rsidRPr="00CC519B">
        <w:rPr>
          <w:rStyle w:val="s1"/>
          <w:rFonts w:ascii="Times New Roman" w:hAnsi="Times New Roman"/>
          <w:sz w:val="20"/>
          <w:szCs w:val="20"/>
          <w:lang w:val="en-US"/>
        </w:rPr>
        <w:t>on</w:t>
      </w:r>
      <w:r w:rsidRPr="00CC519B">
        <w:rPr>
          <w:rStyle w:val="s1"/>
          <w:rFonts w:ascii="Times New Roman" w:hAnsi="Times New Roman"/>
          <w:sz w:val="20"/>
          <w:szCs w:val="20"/>
        </w:rPr>
        <w:t xml:space="preserve"> Villages </w:t>
      </w:r>
      <w:r w:rsidRPr="00CC519B">
        <w:rPr>
          <w:rStyle w:val="s1"/>
          <w:rFonts w:ascii="Times New Roman" w:hAnsi="Times New Roman"/>
          <w:sz w:val="20"/>
          <w:szCs w:val="20"/>
          <w:lang w:val="en-US"/>
        </w:rPr>
        <w:t>state</w:t>
      </w:r>
      <w:r w:rsidRPr="00CC519B">
        <w:rPr>
          <w:rStyle w:val="s1"/>
          <w:rFonts w:ascii="Times New Roman" w:hAnsi="Times New Roman"/>
          <w:sz w:val="20"/>
          <w:szCs w:val="20"/>
        </w:rPr>
        <w:t xml:space="preserve"> that the Village has the authority to regulate its own household, one of which is to provide welfare for the village community through community empowerment and village development in order to provide a prosperous life, so it is necessary to explore the local potential of the village</w:t>
      </w:r>
      <w:r w:rsidRPr="00CC519B">
        <w:rPr>
          <w:rStyle w:val="s1"/>
          <w:rFonts w:ascii="Times New Roman" w:hAnsi="Times New Roman"/>
          <w:sz w:val="20"/>
          <w:szCs w:val="20"/>
          <w:lang w:val="en-US"/>
        </w:rPr>
        <w:t>.</w:t>
      </w:r>
      <w:r w:rsidRPr="00CC519B">
        <w:rPr>
          <w:rFonts w:ascii="Times New Roman" w:hAnsi="Times New Roman"/>
          <w:sz w:val="20"/>
          <w:szCs w:val="20"/>
        </w:rPr>
        <w:t xml:space="preserve"> </w:t>
      </w:r>
      <w:r w:rsidRPr="00CC519B">
        <w:rPr>
          <w:rStyle w:val="s1"/>
          <w:rFonts w:ascii="Times New Roman" w:hAnsi="Times New Roman"/>
          <w:sz w:val="20"/>
          <w:szCs w:val="20"/>
          <w:lang w:val="en-US"/>
        </w:rPr>
        <w:t>Several articles in Law Number 6 of 2014 on Villages, including Articles 112 to 115, highlight the importance of the role of Regional Governments in encouraging village development.</w:t>
      </w:r>
      <w:r w:rsidRPr="00CC519B">
        <w:rPr>
          <w:rFonts w:ascii="Times New Roman" w:hAnsi="Times New Roman"/>
          <w:sz w:val="20"/>
          <w:szCs w:val="20"/>
        </w:rPr>
        <w:t xml:space="preserve"> </w:t>
      </w:r>
      <w:r w:rsidRPr="00CC519B">
        <w:rPr>
          <w:rStyle w:val="s1"/>
          <w:rFonts w:ascii="Times New Roman" w:hAnsi="Times New Roman"/>
          <w:sz w:val="20"/>
          <w:szCs w:val="20"/>
          <w:lang w:val="en-US"/>
        </w:rPr>
        <w:t>Several articles in Law Number 6 of 2014 on Villages, including Articles 112 to 115, highlight the importance of the role of Local Governments in encouraging village development.</w:t>
      </w:r>
      <w:r w:rsidRPr="00CC519B">
        <w:rPr>
          <w:rFonts w:ascii="Times New Roman" w:hAnsi="Times New Roman"/>
          <w:sz w:val="20"/>
          <w:szCs w:val="20"/>
        </w:rPr>
        <w:t xml:space="preserve"> </w:t>
      </w:r>
      <w:r w:rsidRPr="00CC519B">
        <w:rPr>
          <w:rStyle w:val="s1"/>
          <w:rFonts w:ascii="Times New Roman" w:hAnsi="Times New Roman"/>
          <w:sz w:val="20"/>
          <w:szCs w:val="20"/>
          <w:lang w:val="en-US"/>
        </w:rPr>
        <w:t>Law Number 23 of 2014 concerning Local Government, which is one of the legal underpinnings for regional government regulations, is unclear and contradicts Law Number 6 of 2014. Furthermore, except from offering technical guidelines, Law Number 23 of 2014 Ruling Local Government does not specify how the sectoral sector (regional apparatus) at the district level might collaborate with villages in the provision of basic services.</w:t>
      </w:r>
      <w:r w:rsidR="00FA4D6F" w:rsidRPr="00CC519B">
        <w:rPr>
          <w:rFonts w:ascii="Times New Roman" w:hAnsi="Times New Roman"/>
          <w:sz w:val="20"/>
          <w:szCs w:val="20"/>
        </w:rPr>
        <w:t xml:space="preserve"> </w:t>
      </w:r>
      <w:r w:rsidR="00FA4D6F" w:rsidRPr="00CC519B">
        <w:rPr>
          <w:rStyle w:val="s1"/>
          <w:rFonts w:ascii="Times New Roman" w:hAnsi="Times New Roman"/>
          <w:sz w:val="20"/>
          <w:szCs w:val="20"/>
          <w:lang w:val="en-US"/>
        </w:rPr>
        <w:t>Community and Village Empowerment Services are solely entrusted to village affairs (PMD). This poses challenges on the ground, which reduces local government support for village development.</w:t>
      </w:r>
    </w:p>
    <w:p w14:paraId="58FEC94E" w14:textId="77777777" w:rsidR="00795B58" w:rsidRPr="00CC519B" w:rsidRDefault="00795B58" w:rsidP="00CC519B">
      <w:pPr>
        <w:pStyle w:val="p1"/>
        <w:spacing w:line="360" w:lineRule="auto"/>
        <w:jc w:val="both"/>
        <w:rPr>
          <w:rStyle w:val="s1"/>
          <w:rFonts w:ascii="Times New Roman" w:hAnsi="Times New Roman"/>
          <w:sz w:val="20"/>
          <w:szCs w:val="20"/>
          <w:lang w:val="en-US"/>
        </w:rPr>
      </w:pPr>
    </w:p>
    <w:p w14:paraId="2BBC7021" w14:textId="047B539B" w:rsidR="00023D5A" w:rsidRPr="00CC519B" w:rsidRDefault="00FA4D6F" w:rsidP="00CC519B">
      <w:pPr>
        <w:pStyle w:val="p1"/>
        <w:spacing w:line="360" w:lineRule="auto"/>
        <w:rPr>
          <w:rStyle w:val="apple-converted-space"/>
          <w:rFonts w:ascii="Times New Roman" w:hAnsi="Times New Roman"/>
          <w:sz w:val="20"/>
          <w:szCs w:val="20"/>
        </w:rPr>
      </w:pPr>
      <w:r w:rsidRPr="00CC519B">
        <w:rPr>
          <w:rStyle w:val="apple-converted-space"/>
          <w:rFonts w:ascii="Times New Roman" w:hAnsi="Times New Roman"/>
          <w:sz w:val="20"/>
          <w:szCs w:val="20"/>
          <w:lang w:val="en-US"/>
        </w:rPr>
        <w:t>Key Words</w:t>
      </w:r>
      <w:r w:rsidR="00023D5A" w:rsidRPr="00CC519B">
        <w:rPr>
          <w:rStyle w:val="apple-converted-space"/>
          <w:rFonts w:ascii="Times New Roman" w:hAnsi="Times New Roman"/>
          <w:sz w:val="20"/>
          <w:szCs w:val="20"/>
        </w:rPr>
        <w:t xml:space="preserve">: </w:t>
      </w:r>
      <w:r w:rsidRPr="00CC519B">
        <w:rPr>
          <w:rStyle w:val="apple-converted-space"/>
          <w:rFonts w:ascii="Times New Roman" w:hAnsi="Times New Roman"/>
          <w:sz w:val="20"/>
          <w:szCs w:val="20"/>
        </w:rPr>
        <w:t>Development, Village, Local Government</w:t>
      </w:r>
    </w:p>
    <w:p w14:paraId="23702DBA" w14:textId="77777777" w:rsidR="00A16765" w:rsidRPr="00CC519B" w:rsidRDefault="00A16765" w:rsidP="00CC519B">
      <w:pPr>
        <w:pStyle w:val="p1"/>
        <w:spacing w:line="360" w:lineRule="auto"/>
        <w:rPr>
          <w:rFonts w:ascii="Times New Roman" w:hAnsi="Times New Roman"/>
          <w:sz w:val="20"/>
          <w:szCs w:val="20"/>
        </w:rPr>
      </w:pPr>
    </w:p>
    <w:p w14:paraId="15532046" w14:textId="7F4A74D0" w:rsidR="00023D5A" w:rsidRPr="00CC519B" w:rsidRDefault="00FA4D6F" w:rsidP="00CC519B">
      <w:pPr>
        <w:spacing w:line="360" w:lineRule="auto"/>
        <w:jc w:val="both"/>
        <w:rPr>
          <w:rFonts w:ascii="Times New Roman" w:hAnsi="Times New Roman" w:cs="Times New Roman"/>
          <w:b/>
          <w:bCs/>
          <w:sz w:val="20"/>
          <w:szCs w:val="20"/>
          <w:lang w:val="en-US"/>
        </w:rPr>
      </w:pPr>
      <w:r w:rsidRPr="00CC519B">
        <w:rPr>
          <w:rFonts w:ascii="Times New Roman" w:hAnsi="Times New Roman" w:cs="Times New Roman"/>
          <w:b/>
          <w:bCs/>
          <w:sz w:val="20"/>
          <w:szCs w:val="20"/>
          <w:lang w:val="en-US"/>
        </w:rPr>
        <w:t>Introduction</w:t>
      </w:r>
    </w:p>
    <w:p w14:paraId="3109E9EF" w14:textId="1EA5C0BA" w:rsidR="00023D5A" w:rsidRPr="00CC519B" w:rsidRDefault="00FA4D6F" w:rsidP="00CC519B">
      <w:pPr>
        <w:spacing w:line="360" w:lineRule="auto"/>
        <w:ind w:firstLine="720"/>
        <w:jc w:val="both"/>
        <w:rPr>
          <w:rFonts w:ascii="Times New Roman" w:hAnsi="Times New Roman" w:cs="Times New Roman"/>
          <w:sz w:val="20"/>
          <w:szCs w:val="20"/>
          <w:lang w:val="en-US"/>
        </w:rPr>
      </w:pPr>
      <w:r w:rsidRPr="00CC519B">
        <w:rPr>
          <w:rFonts w:ascii="Times New Roman" w:hAnsi="Times New Roman" w:cs="Times New Roman"/>
          <w:sz w:val="20"/>
          <w:szCs w:val="20"/>
        </w:rPr>
        <w:t xml:space="preserve">The imbalanced expansion of villages and cities will have an impact on the social and economic aspects of the two residents. First, cities will have a higher population density as a result of the creation of jobs in the fields of production and services ranging from the lowest quality and category (scavengers) to the highest (predictive computer experts), as opposed to villages that still rely on traditional agriculture, which is dependent on good seasons and land conditions ranging from the worst to the driest, forcing residents to wait for sustenance without </w:t>
      </w:r>
      <w:r w:rsidRPr="00CC519B">
        <w:rPr>
          <w:rFonts w:ascii="Times New Roman" w:hAnsi="Times New Roman" w:cs="Times New Roman"/>
          <w:sz w:val="20"/>
          <w:szCs w:val="20"/>
        </w:rPr>
        <w:lastRenderedPageBreak/>
        <w:t>wasting time. Village communities have begun to embrace rational (modern) thinking in order to maximize time, energy, and (extra) skills; encourage them to investigate regions where they may optimize this time and energy potential, such as cities, villages, and areas with relatively higher economic opportunity. Second, the rate of loss of agricultural energy in the community is increasing. This will be most severe after harvest when labor shortages in intensive agricultural processes lower efficiency and increase waste</w:t>
      </w:r>
      <w:r w:rsidRPr="00CC519B">
        <w:rPr>
          <w:rFonts w:ascii="Times New Roman" w:hAnsi="Times New Roman" w:cs="Times New Roman"/>
          <w:sz w:val="20"/>
          <w:szCs w:val="20"/>
          <w:lang w:val="en-US"/>
        </w:rPr>
        <w:t xml:space="preserve"> </w:t>
      </w:r>
      <w:r w:rsidR="00610AAF"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{"citationItems":[{"id":"ITEM-1","itemData":{"DOI":"10.35308/jcpds.v4i2.994","ISSN":"2477-5746","abstract":"Partisipasi masyarakat dalam musyawarah desa musyawarah untuk musyawarah pembangunan desa yang sangat penting untuk memperoleh persetujuan untuk mendistribusikan prioritas kebutuhan dan kegiatan desa yang akan menjadi bahan wol atau persiapan dokumen perencanaan pembangunan desa. Metode yang digunakan dalam studi analisis kualitatif untuk menjelaskan data yang ditawarkan untuk sahamnya terhadap seorang informan yang dipilih dan ditakdirkan untuk ditakdirkan sesuai dengan teknik purposive. Metode pengambilan sampel sumber informasi. Data penelitian ini kemungkinan tiba pada kesempatan untuk membahas hal ini. hal-hal telah dianalisis menggunakan alur data reduksi, data presentasi dan data kesimpulan. Hasil penelitian ini diketahui bahwa partisipasi masyarakat yang sahamnya telah dibangun oleh untuk dilaksanakan dengan baik, tetapi belum berjalan di jalan dengan maksimal. Indikator kualitas kontribusi masyarakat harus sudah baik karena dalam bisnis mereka lebih dari konsultasi masyarakat telah memberikan pemikiran dan merupakan proposal perencanaan pembangunan desa dan keinginan dan semangat untuk memberikan ide-ide masyarakat terkait dengan perencanaan pembangunan Desa. Kata kunci: Komunitas, Partisipasi, Pembangunan","author":[{"dropping-particle":"","family":"Husna","given":"Cut Asmaul","non-dropping-particle":"","parse-names":false,"suffix":""},{"dropping-particle":"","family":"Mardhiah","given":"Nellis","non-dropping-particle":"","parse-names":false,"suffix":""}],"container-title":"Jurnal Community","id":"ITEM-1","issue":"2","issued":{"date-parts":[["2019"]]},"page":"57-65","title":"Public Participation In Rural Development Playning","type":"article-journal","volume":"4"},"uris":["http://www.mendeley.com/documents/?uuid=06919641-8fe3-419e-82a9-c7eac264226e"]}],"mendeley":{"formattedCitation":"(Husna and Mardhiah, 2019)","plainTextFormattedCitation":"(Husna and Mardhiah, 2019)","previouslyFormattedCitation":"(Husna and Mardhiah, 2019)"},"properties":{"noteIndex":0},"schema":"https://github.com/citation-style-language/schema/raw/master/csl-citation.json"}</w:instrText>
      </w:r>
      <w:r w:rsidR="00610AAF"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(Husna and Mardhiah, 2019)</w:t>
      </w:r>
      <w:r w:rsidR="00610AAF"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w:t>
      </w:r>
      <w:r w:rsidR="00610AAF" w:rsidRPr="00CC519B">
        <w:rPr>
          <w:rFonts w:ascii="Times New Roman" w:hAnsi="Times New Roman" w:cs="Times New Roman"/>
          <w:sz w:val="20"/>
          <w:szCs w:val="20"/>
          <w:lang w:val="en-US"/>
        </w:rPr>
        <w:t xml:space="preserve"> </w:t>
      </w:r>
      <w:r w:rsidRPr="00CC519B">
        <w:rPr>
          <w:rFonts w:ascii="Times New Roman" w:hAnsi="Times New Roman" w:cs="Times New Roman"/>
          <w:sz w:val="20"/>
          <w:szCs w:val="20"/>
          <w:lang w:val="en-US"/>
        </w:rPr>
        <w:t>The economic life of the village is increasingly unable to accommodate skilled workers due to traditional agricultural conditions that do not attract labor and the limitations of market economic mechanisms in the village which are unproductive and do not provide immediate and direct income (quick yielding).</w:t>
      </w:r>
      <w:r w:rsidRPr="00CC519B">
        <w:rPr>
          <w:rFonts w:ascii="Times New Roman" w:hAnsi="Times New Roman" w:cs="Times New Roman"/>
          <w:sz w:val="20"/>
          <w:szCs w:val="20"/>
        </w:rPr>
        <w:t xml:space="preserve"> </w:t>
      </w:r>
      <w:r w:rsidRPr="00CC519B">
        <w:rPr>
          <w:rFonts w:ascii="Times New Roman" w:hAnsi="Times New Roman" w:cs="Times New Roman"/>
          <w:sz w:val="20"/>
          <w:szCs w:val="20"/>
          <w:lang w:val="en-US"/>
        </w:rPr>
        <w:t>This is due to a lack of immediate results. The situation mentioned earlier is</w:t>
      </w:r>
      <w:r w:rsidRPr="00CC519B">
        <w:rPr>
          <w:rFonts w:ascii="Times New Roman" w:hAnsi="Times New Roman" w:cs="Times New Roman"/>
          <w:sz w:val="20"/>
          <w:szCs w:val="20"/>
        </w:rPr>
        <w:t xml:space="preserve"> </w:t>
      </w:r>
      <w:r w:rsidRPr="00CC519B">
        <w:rPr>
          <w:rFonts w:ascii="Times New Roman" w:hAnsi="Times New Roman" w:cs="Times New Roman"/>
          <w:sz w:val="20"/>
          <w:szCs w:val="20"/>
          <w:lang w:val="en-US"/>
        </w:rPr>
        <w:t xml:space="preserve">characteristic of developing countries; unfortunately, there is no way to prevent it due to the fact that the quick rate of economic processes in cities will always outpace the rapid rate of economic growth in rural areas </w:t>
      </w:r>
      <w:r w:rsidR="00264A0E"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{"citationItems":[{"id":"ITEM-1","itemData":{"DOI":"10.18415/ijmmu.v8i3.2377","ISSN":"2364-5369","abstract":"This study has aim to describe the pattern of community participation in the management of village fund (VF) for the development in Tangah village, Susoh District, Southwest Aceh regency. This research was conducted through qualitative approach as the research design. The location of the research is in Tangah village, Susoh district, Southwest Aceh regency, Aceh, Indonesia. The data were divided into primary and secondary data. In collecting primary data, observation and interview techniques were used. The research informants include government officials of Tangah village, community leaders, and community memebrs of Tangah village. Documentation study as secondary data were collected from various documentations. From the analysis, it can be concluded that In the implementation of VF in Tangah village, it turns out that the process has followed the stages that were adopted from Law No. 6 of 2014 on Villages. The support and participation of various parties in there illustrates the presence of community involvement in various activities and programs of community empowerment and village economic development, although the significance is still not optimal.","author":[{"dropping-particle":"","family":"Fadhal","given":"Muhammad","non-dropping-particle":"","parse-names":false,"suffix":""},{"dropping-particle":"","family":"Lubis","given":"Zulkifli","non-dropping-particle":"","parse-names":false,"suffix":""},{"dropping-particle":"","family":"Zulkifli","given":"Zulkifli","non-dropping-particle":"","parse-names":false,"suffix":""},{"dropping-particle":"","family":"Ismail","given":"Rizabuana","non-dropping-particle":"","parse-names":false,"suffix":""},{"dropping-particle":"","family":"Sitorus","given":"Henry","non-dropping-particle":"","parse-names":false,"suffix":""},{"dropping-particle":"","family":"Tobing","given":"Roida Lumban","non-dropping-particle":"","parse-names":false,"suffix":""}],"container-title":"International Journal of Multicultural and Multireligious Understanding","id":"ITEM-1","issue":"3","issued":{"date-parts":[["2021"]]},"page":"65","title":"Village Fund Management: Pattern of Community Participation for Village Development","type":"article-journal","volume":"8"},"uris":["http://www.mendeley.com/documents/?uuid=61361a1b-86f5-4566-bc20-dc835b7341f8"]}],"mendeley":{"formattedCitation":"(Fadhal &lt;i&gt;et al.&lt;/i&gt;, 2021)","plainTextFormattedCitation":"(Fadhal et al., 2021)","previouslyFormattedCitation":"(Fadhal &lt;i&gt;et al.&lt;/i&gt;, 2021)"},"properties":{"noteIndex":0},"schema":"https://github.com/citation-style-language/schema/raw/master/csl-citation.json"}</w:instrText>
      </w:r>
      <w:r w:rsidR="00264A0E"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 xml:space="preserve">(Fadhal </w:t>
      </w:r>
      <w:r w:rsidR="00267EEB" w:rsidRPr="00267EEB">
        <w:rPr>
          <w:rFonts w:ascii="Times New Roman" w:hAnsi="Times New Roman" w:cs="Times New Roman"/>
          <w:i/>
          <w:noProof/>
          <w:sz w:val="20"/>
          <w:szCs w:val="20"/>
        </w:rPr>
        <w:t>et al.</w:t>
      </w:r>
      <w:r w:rsidR="00267EEB" w:rsidRPr="00267EEB">
        <w:rPr>
          <w:rFonts w:ascii="Times New Roman" w:hAnsi="Times New Roman" w:cs="Times New Roman"/>
          <w:noProof/>
          <w:sz w:val="20"/>
          <w:szCs w:val="20"/>
        </w:rPr>
        <w:t>, 2021)</w:t>
      </w:r>
      <w:r w:rsidR="00264A0E"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w:t>
      </w:r>
    </w:p>
    <w:p w14:paraId="64603AC2" w14:textId="77777777" w:rsidR="00023D5A" w:rsidRPr="00CC519B" w:rsidRDefault="00023D5A" w:rsidP="00CC519B">
      <w:pPr>
        <w:spacing w:line="360" w:lineRule="auto"/>
        <w:jc w:val="both"/>
        <w:rPr>
          <w:rFonts w:ascii="Times New Roman" w:hAnsi="Times New Roman" w:cs="Times New Roman"/>
          <w:sz w:val="20"/>
          <w:szCs w:val="20"/>
        </w:rPr>
      </w:pPr>
    </w:p>
    <w:p w14:paraId="5ABB0283" w14:textId="207F9696" w:rsidR="00023D5A" w:rsidRPr="00CC519B" w:rsidRDefault="007E356A" w:rsidP="00CC519B">
      <w:pPr>
        <w:spacing w:line="360" w:lineRule="auto"/>
        <w:ind w:firstLine="720"/>
        <w:jc w:val="both"/>
        <w:rPr>
          <w:rFonts w:ascii="Times New Roman" w:hAnsi="Times New Roman" w:cs="Times New Roman"/>
          <w:sz w:val="20"/>
          <w:szCs w:val="20"/>
        </w:rPr>
      </w:pPr>
      <w:r w:rsidRPr="00CC519B">
        <w:rPr>
          <w:rFonts w:ascii="Times New Roman" w:hAnsi="Times New Roman" w:cs="Times New Roman"/>
          <w:sz w:val="20"/>
          <w:szCs w:val="20"/>
        </w:rPr>
        <w:t>The enactment of Law Number 6 of 2014 Regarding Villages is a significant step forward in the administration of the government affairs of the State of Indonesia. The development process in Indonesia has been facilitated by this law, which is also a symbol of encouragement for rural areas</w:t>
      </w:r>
      <w:r w:rsidR="00605C13" w:rsidRPr="00CC519B">
        <w:rPr>
          <w:rFonts w:ascii="Times New Roman" w:hAnsi="Times New Roman" w:cs="Times New Roman"/>
          <w:sz w:val="20"/>
          <w:szCs w:val="20"/>
          <w:lang w:val="en-US"/>
        </w:rPr>
        <w:t xml:space="preserve"> </w:t>
      </w:r>
      <w:r w:rsidR="00CF3801"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{"citationItems":[{"id":"ITEM-1","itemData":{"DOI":"10.1088/1742-6596/953/1/012072","ISSN":"17426596","abstract":"The purpose of this paper is to provide better understanding of the potential of cultural villages as a model of Community Based Tourism. The research was held in Buleleng regency, North of Bali, where the tourism is growing in this area. A qualitative research had been applied and data was collected through in-depth interview with informants from the community who directly involve in the tourism businesses. Observation and document review were also utilized. Data was analyzed in qualitative manner following Miles and Huberman method: data reduction, data display and conclusion drawing. Four villages that won the Anugerah Desa Wisata award were selected as the cases namely Pemuteran Village, Munduk Village, Sambangan Village and Kalibukbuk Village. The findings revealed that those four villages have its own uniqueness and strong points to attract tourists. Pemuteran village has strong point on under water attraction and preservation of coral reefs. Munduk village relies on nature scenery, agro-tourism and traditional game as tourist's attraction. Sambangan village is famous of waterfalls and adventurous activities. Kalibukbuk village depends on black sandy beach with dolphin watching as the main attraction. It is also apparent that the local community is actively involved and gets benefits from the tourism businesses.","author":[{"dropping-particle":"","family":"Dewi","given":"N. I.K.","non-dropping-particle":"","parse-names":false,"suffix":""},{"dropping-particle":"","family":"Astawa","given":"I. P.","non-dropping-particle":"","parse-names":false,"suffix":""},{"dropping-particle":"","family":"Siwantara","given":"I. W.","non-dropping-particle":"","parse-names":false,"suffix":""},{"dropping-particle":"","family":"Mataram","given":"I. G.A.B.","non-dropping-particle":"","parse-names":false,"suffix":""}],"container-title":"Journal of Physics: Conference Series","id":"ITEM-1","issue":"1","issued":{"date-parts":[["2018"]]},"title":"Exploring the potential of cultural villages as a model of community based tourism","type":"article-journal","volume":"953"},"uris":["http://www.mendeley.com/documents/?uuid=6de7f6aa-9b34-4fc4-bd89-1c30b375d5e9"]}],"mendeley":{"formattedCitation":"(Dewi &lt;i&gt;et al.&lt;/i&gt;, 2018)","plainTextFormattedCitation":"(Dewi et al., 2018)","previouslyFormattedCitation":"(Dewi &lt;i&gt;et al.&lt;/i&gt;, 2018)"},"properties":{"noteIndex":0},"schema":"https://github.com/citation-style-language/schema/raw/master/csl-citation.json"}</w:instrText>
      </w:r>
      <w:r w:rsidR="00CF3801"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 xml:space="preserve">(Dewi </w:t>
      </w:r>
      <w:r w:rsidR="00267EEB" w:rsidRPr="00267EEB">
        <w:rPr>
          <w:rFonts w:ascii="Times New Roman" w:hAnsi="Times New Roman" w:cs="Times New Roman"/>
          <w:i/>
          <w:noProof/>
          <w:sz w:val="20"/>
          <w:szCs w:val="20"/>
        </w:rPr>
        <w:t>et al.</w:t>
      </w:r>
      <w:r w:rsidR="00267EEB" w:rsidRPr="00267EEB">
        <w:rPr>
          <w:rFonts w:ascii="Times New Roman" w:hAnsi="Times New Roman" w:cs="Times New Roman"/>
          <w:noProof/>
          <w:sz w:val="20"/>
          <w:szCs w:val="20"/>
        </w:rPr>
        <w:t>, 2018)</w:t>
      </w:r>
      <w:r w:rsidR="00CF3801" w:rsidRPr="00CC519B">
        <w:rPr>
          <w:rFonts w:ascii="Times New Roman" w:hAnsi="Times New Roman" w:cs="Times New Roman"/>
          <w:sz w:val="20"/>
          <w:szCs w:val="20"/>
        </w:rPr>
        <w:fldChar w:fldCharType="end"/>
      </w:r>
      <w:r w:rsidR="00FE36C3" w:rsidRPr="00CC519B">
        <w:rPr>
          <w:rFonts w:ascii="Times New Roman" w:hAnsi="Times New Roman" w:cs="Times New Roman"/>
          <w:sz w:val="20"/>
          <w:szCs w:val="20"/>
        </w:rPr>
        <w:t>.</w:t>
      </w:r>
      <w:r w:rsidR="00605C13" w:rsidRPr="00CC519B">
        <w:rPr>
          <w:rFonts w:ascii="Times New Roman" w:hAnsi="Times New Roman" w:cs="Times New Roman"/>
          <w:sz w:val="20"/>
          <w:szCs w:val="20"/>
          <w:lang w:val="en-US"/>
        </w:rPr>
        <w:t xml:space="preserve"> The village, as an entity with certain characteristics and qualities, is able to construct its community with the capital strengths and opportunities it possesses. A worthy goal is to construct Indonesia from the periphery by strengthening regions and villages within a unitary state, which is why the mandate of the village legislation is becoming stronger </w:t>
      </w:r>
      <w:r w:rsidR="00610AAF" w:rsidRPr="00CC519B">
        <w:rPr>
          <w:rFonts w:ascii="Times New Roman" w:hAnsi="Times New Roman" w:cs="Times New Roman"/>
          <w:sz w:val="20"/>
          <w:szCs w:val="20"/>
        </w:rPr>
        <w:fldChar w:fldCharType="begin" w:fldLock="1"/>
      </w:r>
      <w:r w:rsidR="00610AAF" w:rsidRPr="00CC519B">
        <w:rPr>
          <w:rFonts w:ascii="Times New Roman" w:hAnsi="Times New Roman" w:cs="Times New Roman"/>
          <w:sz w:val="20"/>
          <w:szCs w:val="20"/>
        </w:rPr>
        <w:instrText>ADDIN CSL_CITATION {"citationItems":[{"id":"ITEM-1","itemData":{"DOI":"10.46729/ijstm.v2i4.267","abstract":"The goal of this study is to explain Village Fund Allocation for community empowerment by concentrating on village financial management rules in Village Fund Allocation administration. The Village Fund Allocation Implementation Team's financial management was not in accordance with applicable regulations, thus this research was conducted. This study is expected to assist the Buton Regency Government, specifically the South Lasalimu District, in improving village financial management. The research was conducted through in-depth interviews and direct observation of Village Fund Management implementation. According to the study's results, accountable and transparent management has been in place for the planning and implementation of Village Fund Allocation activities. Meanwhile, in terms of accountability, as indicated by the physical outcomes, it has exhibited responsible and transparent execution; nevertheless, additional direction is still necessary on the administrative side, since it is not completely in conformity with the regulations. The main barrier is the ineffectiveness of developing village government officials and human resource capabilities, which results in a lack of ongoing assistance from local government officials.","author":[{"dropping-particle":"","family":"Hastuti","given":"","non-dropping-particle":"","parse-names":false,"suffix":""}],"container-title":"International Journal of Science, Technology &amp; Management","id":"ITEM-1","issue":"4","issued":{"date-parts":[["2021"]]},"page":"1249-1257","title":"Village Financial Management Towards Village Fund Policy For Community Empowerment","type":"article-journal","volume":"2"},"uris":["http://www.mendeley.com/documents/?uuid=4280a288-8882-4011-8dab-206e52bd35b4"]}],"mendeley":{"formattedCitation":"(Hastuti, 2021)","plainTextFormattedCitation":"(Hastuti, 2021)","previouslyFormattedCitation":"(Hastuti, 2021)"},"properties":{"noteIndex":0},"schema":"https://github.com/citation-style-language/schema/raw/master/csl-citation.json"}</w:instrText>
      </w:r>
      <w:r w:rsidR="00610AAF" w:rsidRPr="00CC519B">
        <w:rPr>
          <w:rFonts w:ascii="Times New Roman" w:hAnsi="Times New Roman" w:cs="Times New Roman"/>
          <w:sz w:val="20"/>
          <w:szCs w:val="20"/>
        </w:rPr>
        <w:fldChar w:fldCharType="separate"/>
      </w:r>
      <w:r w:rsidR="00610AAF" w:rsidRPr="00CC519B">
        <w:rPr>
          <w:rFonts w:ascii="Times New Roman" w:hAnsi="Times New Roman" w:cs="Times New Roman"/>
          <w:noProof/>
          <w:sz w:val="20"/>
          <w:szCs w:val="20"/>
        </w:rPr>
        <w:t>(Hastuti, 2021)</w:t>
      </w:r>
      <w:r w:rsidR="00610AAF" w:rsidRPr="00CC519B">
        <w:rPr>
          <w:rFonts w:ascii="Times New Roman" w:hAnsi="Times New Roman" w:cs="Times New Roman"/>
          <w:sz w:val="20"/>
          <w:szCs w:val="20"/>
        </w:rPr>
        <w:fldChar w:fldCharType="end"/>
      </w:r>
      <w:r w:rsidR="00FE36C3" w:rsidRPr="00CC519B">
        <w:rPr>
          <w:rFonts w:ascii="Times New Roman" w:hAnsi="Times New Roman" w:cs="Times New Roman"/>
          <w:sz w:val="20"/>
          <w:szCs w:val="20"/>
        </w:rPr>
        <w:t>.</w:t>
      </w:r>
    </w:p>
    <w:p w14:paraId="53F80689" w14:textId="77777777" w:rsidR="00023D5A" w:rsidRPr="00CC519B" w:rsidRDefault="00023D5A" w:rsidP="00CC519B">
      <w:pPr>
        <w:spacing w:line="360" w:lineRule="auto"/>
        <w:jc w:val="both"/>
        <w:rPr>
          <w:rFonts w:ascii="Times New Roman" w:hAnsi="Times New Roman" w:cs="Times New Roman"/>
          <w:sz w:val="20"/>
          <w:szCs w:val="20"/>
        </w:rPr>
      </w:pPr>
    </w:p>
    <w:p w14:paraId="2D4C5853" w14:textId="002762BE" w:rsidR="00023D5A" w:rsidRPr="00CC519B" w:rsidRDefault="00605C13" w:rsidP="00CC519B">
      <w:pPr>
        <w:pStyle w:val="p1"/>
        <w:spacing w:line="360" w:lineRule="auto"/>
        <w:ind w:firstLine="720"/>
        <w:jc w:val="both"/>
        <w:rPr>
          <w:rFonts w:ascii="Times New Roman" w:hAnsi="Times New Roman"/>
          <w:sz w:val="20"/>
          <w:szCs w:val="20"/>
        </w:rPr>
      </w:pPr>
      <w:r w:rsidRPr="00CC519B">
        <w:rPr>
          <w:rStyle w:val="s1"/>
          <w:rFonts w:ascii="Times New Roman" w:hAnsi="Times New Roman"/>
          <w:sz w:val="20"/>
          <w:szCs w:val="20"/>
        </w:rPr>
        <w:t>From a legal-political perspective, Law Number 6 of 2014 on Villages is the result of protracted political effort and thought to make the village a foundation for enhancing the quality of life. The enactment of Villages Law No. 6 of 2014 is the result of a long political effort, as well as a mental battle, to make the village the foundation of the nation's progress.</w:t>
      </w:r>
      <w:r w:rsidRPr="00CC519B">
        <w:rPr>
          <w:rFonts w:ascii="Times New Roman" w:hAnsi="Times New Roman"/>
          <w:sz w:val="20"/>
          <w:szCs w:val="20"/>
        </w:rPr>
        <w:t xml:space="preserve"> </w:t>
      </w:r>
      <w:r w:rsidRPr="00CC519B">
        <w:rPr>
          <w:rStyle w:val="s1"/>
          <w:rFonts w:ascii="Times New Roman" w:hAnsi="Times New Roman"/>
          <w:sz w:val="20"/>
          <w:szCs w:val="20"/>
        </w:rPr>
        <w:t>The key point of contention among those debating the subject is whether the village authority structure is centralized or decentralized. Aside from the political tensions that occurred after the 2014 election, Law No. 6 of 2014 also advocates for the legal protection of rural areas. This village regulation replaces the village regulations established in Law Numbers 22 and 32 of 2004. Following the enactment of Law Number 6 of 2014 and Law Number 23 of 2014 addressing Local Government, these Village regulations are only included in the Community and Village Empowerment Section of Law Number 23 of 2014.</w:t>
      </w:r>
      <w:r w:rsidRPr="00CC519B">
        <w:rPr>
          <w:rFonts w:ascii="Times New Roman" w:hAnsi="Times New Roman"/>
          <w:sz w:val="20"/>
          <w:szCs w:val="20"/>
        </w:rPr>
        <w:t xml:space="preserve"> </w:t>
      </w:r>
      <w:r w:rsidRPr="00CC519B">
        <w:rPr>
          <w:rStyle w:val="s1"/>
          <w:rFonts w:ascii="Times New Roman" w:hAnsi="Times New Roman"/>
          <w:sz w:val="20"/>
          <w:szCs w:val="20"/>
        </w:rPr>
        <w:t xml:space="preserve">If left unchecked, it will lead to gaps in the sector, especially in terms of local government assistance for village development. The discrepancy between the two rules has a significant effect on cities with great potential but little development. If allowed to continue, the sub-sector with laws dealing with villages that are not in accordance with Law No. 6 of 2014 will create a </w:t>
      </w:r>
      <w:r w:rsidRPr="00CC519B">
        <w:rPr>
          <w:rStyle w:val="s1"/>
          <w:rFonts w:ascii="Times New Roman" w:hAnsi="Times New Roman"/>
          <w:sz w:val="20"/>
          <w:szCs w:val="20"/>
          <w:lang w:val="en-US"/>
        </w:rPr>
        <w:t>gap</w:t>
      </w:r>
      <w:r w:rsidRPr="00CC519B">
        <w:rPr>
          <w:rStyle w:val="s1"/>
          <w:rFonts w:ascii="Times New Roman" w:hAnsi="Times New Roman"/>
          <w:sz w:val="20"/>
          <w:szCs w:val="20"/>
        </w:rPr>
        <w:t xml:space="preserve"> in the field</w:t>
      </w:r>
      <w:r w:rsidRPr="00CC519B">
        <w:rPr>
          <w:rStyle w:val="s1"/>
          <w:rFonts w:ascii="Times New Roman" w:hAnsi="Times New Roman"/>
          <w:sz w:val="20"/>
          <w:szCs w:val="20"/>
          <w:lang w:val="en-US"/>
        </w:rPr>
        <w:t xml:space="preserve"> </w:t>
      </w:r>
      <w:r w:rsidR="00484325" w:rsidRPr="00CC519B">
        <w:rPr>
          <w:rStyle w:val="s1"/>
          <w:rFonts w:ascii="Times New Roman" w:hAnsi="Times New Roman"/>
          <w:sz w:val="20"/>
          <w:szCs w:val="20"/>
        </w:rPr>
        <w:fldChar w:fldCharType="begin" w:fldLock="1"/>
      </w:r>
      <w:r w:rsidR="00267EEB">
        <w:rPr>
          <w:rStyle w:val="s1"/>
          <w:rFonts w:ascii="Times New Roman" w:hAnsi="Times New Roman"/>
          <w:sz w:val="20"/>
          <w:szCs w:val="20"/>
        </w:rPr>
        <w:instrText>ADDIN CSL_CITATION {"citationItems":[{"id":"ITEM-1","itemData":{"DOI":"10.18415/ijmmu.v8i3.2377","ISSN":"2364-5369","abstract":"This study has aim to describe the pattern of community participation in the management of village fund (VF) for the development in Tangah village, Susoh District, Southwest Aceh regency. This research was conducted through qualitative approach as the research design. The location of the research is in Tangah village, Susoh district, Southwest Aceh regency, Aceh, Indonesia. The data were divided into primary and secondary data. In collecting primary data, observation and interview techniques were used. The research informants include government officials of Tangah village, community leaders, and community memebrs of Tangah village. Documentation study as secondary data were collected from various documentations. From the analysis, it can be concluded that In the implementation of VF in Tangah village, it turns out that the process has followed the stages that were adopted from Law No. 6 of 2014 on Villages. The support and participation of various parties in there illustrates the presence of community involvement in various activities and programs of community empowerment and village economic development, although the significance is still not optimal.","author":[{"dropping-particle":"","family":"Fadhal","given":"Muhammad","non-dropping-particle":"","parse-names":false,"suffix":""},{"dropping-particle":"","family":"Lubis","given":"Zulkifli","non-dropping-particle":"","parse-names":false,"suffix":""},{"dropping-particle":"","family":"Zulkifli","given":"Zulkifli","non-dropping-particle":"","parse-names":false,"suffix":""},{"dropping-particle":"","family":"Ismail","given":"Rizabuana","non-dropping-particle":"","parse-names":false,"suffix":""},{"dropping-particle":"","family":"Sitorus","given":"Henry","non-dropping-particle":"","parse-names":false,"suffix":""},{"dropping-particle":"","family":"Tobing","given":"Roida Lumban","non-dropping-particle":"","parse-names":false,"suffix":""}],"container-title":"International Journal of Multicultural and Multireligious Understanding","id":"ITEM-1","issue":"3","issued":{"date-parts":[["2021"]]},"page":"65","title":"Village Fund Management: Pattern of Community Participation for Village Development","type":"article-journal","volume":"8"},"uris":["http://www.mendeley.com/documents/?uuid=61361a1b-86f5-4566-bc20-dc835b7341f8"]}],"mendeley":{"formattedCitation":"(Fadhal &lt;i&gt;et al.&lt;/i&gt;, 2021)","plainTextFormattedCitation":"(Fadhal et al., 2021)","previouslyFormattedCitation":"(Fadhal &lt;i&gt;et al.&lt;/i&gt;, 2021)"},"properties":{"noteIndex":0},"schema":"https://github.com/citation-style-language/schema/raw/master/csl-citation.json"}</w:instrText>
      </w:r>
      <w:r w:rsidR="00484325" w:rsidRPr="00CC519B">
        <w:rPr>
          <w:rStyle w:val="s1"/>
          <w:rFonts w:ascii="Times New Roman" w:hAnsi="Times New Roman"/>
          <w:sz w:val="20"/>
          <w:szCs w:val="20"/>
        </w:rPr>
        <w:fldChar w:fldCharType="separate"/>
      </w:r>
      <w:r w:rsidR="00267EEB" w:rsidRPr="00267EEB">
        <w:rPr>
          <w:rStyle w:val="s1"/>
          <w:rFonts w:ascii="Times New Roman" w:hAnsi="Times New Roman"/>
          <w:noProof/>
          <w:sz w:val="20"/>
          <w:szCs w:val="20"/>
        </w:rPr>
        <w:t xml:space="preserve">(Fadhal </w:t>
      </w:r>
      <w:r w:rsidR="00267EEB" w:rsidRPr="00267EEB">
        <w:rPr>
          <w:rStyle w:val="s1"/>
          <w:rFonts w:ascii="Times New Roman" w:hAnsi="Times New Roman"/>
          <w:i/>
          <w:noProof/>
          <w:sz w:val="20"/>
          <w:szCs w:val="20"/>
        </w:rPr>
        <w:t>et al.</w:t>
      </w:r>
      <w:r w:rsidR="00267EEB" w:rsidRPr="00267EEB">
        <w:rPr>
          <w:rStyle w:val="s1"/>
          <w:rFonts w:ascii="Times New Roman" w:hAnsi="Times New Roman"/>
          <w:noProof/>
          <w:sz w:val="20"/>
          <w:szCs w:val="20"/>
        </w:rPr>
        <w:t>, 2021)</w:t>
      </w:r>
      <w:r w:rsidR="00484325" w:rsidRPr="00CC519B">
        <w:rPr>
          <w:rStyle w:val="s1"/>
          <w:rFonts w:ascii="Times New Roman" w:hAnsi="Times New Roman"/>
          <w:sz w:val="20"/>
          <w:szCs w:val="20"/>
        </w:rPr>
        <w:fldChar w:fldCharType="end"/>
      </w:r>
      <w:r w:rsidR="00023D5A" w:rsidRPr="00CC519B">
        <w:rPr>
          <w:rStyle w:val="s1"/>
          <w:rFonts w:ascii="Times New Roman" w:hAnsi="Times New Roman"/>
          <w:sz w:val="20"/>
          <w:szCs w:val="20"/>
        </w:rPr>
        <w:t xml:space="preserve">. </w:t>
      </w:r>
    </w:p>
    <w:p w14:paraId="2FAD8E93" w14:textId="60DC3B41" w:rsidR="00023D5A" w:rsidRPr="00CC519B" w:rsidRDefault="00023D5A" w:rsidP="00CC519B">
      <w:pPr>
        <w:spacing w:line="360" w:lineRule="auto"/>
        <w:jc w:val="both"/>
        <w:rPr>
          <w:rFonts w:ascii="Times New Roman" w:hAnsi="Times New Roman" w:cs="Times New Roman"/>
          <w:b/>
          <w:bCs/>
          <w:sz w:val="20"/>
          <w:szCs w:val="20"/>
        </w:rPr>
      </w:pPr>
    </w:p>
    <w:p w14:paraId="304377C4" w14:textId="5EF8495A" w:rsidR="00023D5A" w:rsidRPr="00CC519B" w:rsidRDefault="00D85E90" w:rsidP="00CC519B">
      <w:pPr>
        <w:spacing w:line="360" w:lineRule="auto"/>
        <w:jc w:val="both"/>
        <w:rPr>
          <w:rFonts w:ascii="Times New Roman" w:hAnsi="Times New Roman" w:cs="Times New Roman"/>
          <w:b/>
          <w:bCs/>
          <w:sz w:val="20"/>
          <w:szCs w:val="20"/>
          <w:lang w:val="en-US"/>
        </w:rPr>
      </w:pPr>
      <w:r w:rsidRPr="00CC519B">
        <w:rPr>
          <w:rFonts w:ascii="Times New Roman" w:hAnsi="Times New Roman" w:cs="Times New Roman"/>
          <w:b/>
          <w:bCs/>
          <w:sz w:val="20"/>
          <w:szCs w:val="20"/>
          <w:lang w:val="en-US"/>
        </w:rPr>
        <w:lastRenderedPageBreak/>
        <w:t>Discussion</w:t>
      </w:r>
    </w:p>
    <w:p w14:paraId="49BDF701" w14:textId="77777777" w:rsidR="00D85E90" w:rsidRPr="00CC519B" w:rsidRDefault="00D85E90" w:rsidP="00CC519B">
      <w:pPr>
        <w:pStyle w:val="ListParagraph"/>
        <w:numPr>
          <w:ilvl w:val="0"/>
          <w:numId w:val="1"/>
        </w:numPr>
        <w:spacing w:line="360" w:lineRule="auto"/>
        <w:jc w:val="both"/>
        <w:rPr>
          <w:rFonts w:ascii="Times New Roman" w:hAnsi="Times New Roman" w:cs="Times New Roman"/>
          <w:b/>
          <w:bCs/>
          <w:sz w:val="20"/>
          <w:szCs w:val="20"/>
        </w:rPr>
      </w:pPr>
      <w:r w:rsidRPr="00CC519B">
        <w:rPr>
          <w:rFonts w:ascii="Times New Roman" w:hAnsi="Times New Roman" w:cs="Times New Roman"/>
          <w:b/>
          <w:bCs/>
          <w:sz w:val="20"/>
          <w:szCs w:val="20"/>
        </w:rPr>
        <w:t xml:space="preserve">Constitutional Basis and Village Arrangements in the Reformation Era </w:t>
      </w:r>
    </w:p>
    <w:p w14:paraId="31887DE6" w14:textId="72814FC1" w:rsidR="00023D5A" w:rsidRPr="00CC519B" w:rsidRDefault="00D85E90"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rPr>
        <w:t>As a unitary state, Indonesia has a multiethnic and multicultural society that comes from within and around the village. The community was the first to establish a fully autonomous and self-sufficient democratic government.</w:t>
      </w:r>
      <w:r w:rsidR="007E4E92" w:rsidRPr="00CC519B">
        <w:rPr>
          <w:rFonts w:ascii="Times New Roman" w:hAnsi="Times New Roman" w:cs="Times New Roman"/>
          <w:sz w:val="20"/>
          <w:szCs w:val="20"/>
        </w:rPr>
        <w:t xml:space="preserve"> The village had its own political structure and technique, as well as its own social norms, for a very long time. This is the forerunner of the contemporary Indonesian nation. However, village development has not yet reached the government's top priority. In each autonomous region of Indonesia, the notion of the village has evolved to reflect the historical priorities, customs, and culture of the local population. Villages in the Indonesian constitutional system, as outlined in the 1945 Constitution of the Republic of Indonesia, are very important in the discussion of village law. Because the 1945 Constitution of the Republic of Indonesia stipulates the relationship between the state, village and citizens, that is how it is. The publication of an academic article in 2007 by the FPPD and the Directorate of Village and District Government of the Directorate General of PM marked the completion of a protracted process that led to the recognition of the subsidiarity notion. The initial idea was that villages were included in the territory because decentralization only extended to districts and cities, while districts and cities handed over some of their authority to villages</w:t>
      </w:r>
      <w:r w:rsidR="007E4E92" w:rsidRPr="00CC519B">
        <w:rPr>
          <w:rFonts w:ascii="Times New Roman" w:hAnsi="Times New Roman" w:cs="Times New Roman"/>
          <w:sz w:val="20"/>
          <w:szCs w:val="20"/>
          <w:lang w:val="en-US"/>
        </w:rPr>
        <w:t xml:space="preserve"> </w:t>
      </w:r>
      <w:r w:rsidR="00484325"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{"citationItems":[{"id":"ITEM-1","itemData":{"DOI":"10.29121/granthaalayah.v8.i3.2020.164","ISSN":"2394-3629","abstract":"The Indonesian government is promoting the development of the potential of villages through the tourism village program, but the formation of a tourism village requires prior study to assess its feasibility as a tourism destination. This study aims to analyze the potential and develop strategies for developing Babahan Village in Tabanan Regency, Bali Province as a culture-based tourism village. This research is a qualitative descriptive study which begins with data collection of tourism potential using SWOT analysis and continued with the IFAS-EFAS method. IFAS-EFAS calculation results show the strength factors of the development of Babahan Village as a culture-based ecotourism village are : having a tracking path (0.305), good natural potential (0.305), the existence of Besikalung Temple (0.302), and beautiful rice field views (0.300). SWOT matrix analysis is in Quadrant I (Supporting Aggressive Strategies) with the results of four Strengths-Opportunities (SO) development strategies, namely: a). maintaining and improving the quality of tourist attraction, b). develop and organize the natural potential that exists, c). improve the quality of service to tourists, d). development of tour packages. The conclusion is Babahan Village, Tabanan Regency, Bali has the potential to be developed into a tourism village.","author":[{"dropping-particle":"","family":"Widnyana","given":"I Ketut","non-dropping-particle":"","parse-names":false,"suffix":""},{"dropping-particle":"","family":"Karunia","given":"I Putu","non-dropping-particle":"","parse-names":false,"suffix":""},{"dropping-particle":"","family":"Sujana","given":"I Putu","non-dropping-particle":"","parse-names":false,"suffix":""}],"container-title":"International Journal of Research -GRANTHAALAYAH","id":"ITEM-1","issue":"3","issued":{"date-parts":[["2020"]]},"page":"324-330","publisher":"Granthaalayah Publications and Printers","title":"Strategy for Development of Tourist Village in Bali Island","type":"article-journal","volume":"8"},"uris":["http://www.mendeley.com/documents/?uuid=4d7ce92c-b7cd-4de4-82eb-5257fb7fc8b2"]}],"mendeley":{"formattedCitation":"(Widnyana, Karunia and Sujana, 2020)","plainTextFormattedCitation":"(Widnyana, Karunia and Sujana, 2020)","previouslyFormattedCitation":"(Widnyana, Karunia and Sujana, 2020)"},"properties":{"noteIndex":0},"schema":"https://github.com/citation-style-language/schema/raw/master/csl-citation.json"}</w:instrText>
      </w:r>
      <w:r w:rsidR="00484325"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(Widnyana, Karunia and Sujana, 2020)</w:t>
      </w:r>
      <w:r w:rsidR="00484325"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w:t>
      </w:r>
    </w:p>
    <w:p w14:paraId="45D8F75A" w14:textId="77777777" w:rsidR="00023D5A" w:rsidRPr="00CC519B" w:rsidRDefault="00023D5A" w:rsidP="00CC519B">
      <w:pPr>
        <w:spacing w:line="360" w:lineRule="auto"/>
        <w:jc w:val="both"/>
        <w:rPr>
          <w:rFonts w:ascii="Times New Roman" w:hAnsi="Times New Roman" w:cs="Times New Roman"/>
          <w:sz w:val="20"/>
          <w:szCs w:val="20"/>
        </w:rPr>
      </w:pPr>
    </w:p>
    <w:p w14:paraId="74424F60" w14:textId="3F55D5EE" w:rsidR="00023D5A" w:rsidRPr="00CC519B" w:rsidRDefault="0082431B" w:rsidP="00CC519B">
      <w:pPr>
        <w:spacing w:line="360" w:lineRule="auto"/>
        <w:ind w:firstLine="720"/>
        <w:jc w:val="both"/>
        <w:rPr>
          <w:rFonts w:ascii="Times New Roman" w:hAnsi="Times New Roman" w:cs="Times New Roman"/>
          <w:sz w:val="20"/>
          <w:szCs w:val="20"/>
        </w:rPr>
      </w:pPr>
      <w:r w:rsidRPr="00CC519B">
        <w:rPr>
          <w:rFonts w:ascii="Times New Roman" w:hAnsi="Times New Roman" w:cs="Times New Roman"/>
          <w:sz w:val="20"/>
          <w:szCs w:val="20"/>
        </w:rPr>
        <w:t>Law No. 5 of 1979 is in incompliance with the spirit of the 1945 Constitution and the obligation to recognize and defend specific origin rights; hence, the government prescribes a substitute for this law, namely Law No. 22 of 1999 concerning Regional Government, which comprises village restrictions. These replacement laws are the result of the necessity to recognize and defend specific origin rights, which must be replaced or repealed. During the Reformation period, Law Number 22 of 1999 on Regional Government was enacted, and it was later modified with Law Number 32 of 2004 on Regional Government. The revocation of Law No. 5 of 1979 on Villages culminated in the enactment of Law No. 22 of 1999 on Regional Government. The criteria for village governance in this law are contained in Chapter XI Articles 93-111. (There are a total of eighteen articles.) In terms of decentralization, Law No. 22/1999 places a high value on local diversity, paving the way for local communities to reclaim their long-lost identity following the implementation of Law No. 5/1979, which reduced the state's control over the village and gave the village authority to strengthen its existence and autonomy. Furthermore, the law permits local communities to reclaim their lost identities during the implementation of Law No. 5/1979. If the village is the lowest government unit under the head of the subdistrict according to Law Number 5 of 1979, then the village is a legal community unit that has the right to manage and manage the local community according to Law Number 22 of 1999.</w:t>
      </w:r>
      <w:r w:rsidR="00F246FA" w:rsidRPr="00CC519B">
        <w:rPr>
          <w:rFonts w:ascii="Times New Roman" w:hAnsi="Times New Roman" w:cs="Times New Roman"/>
          <w:sz w:val="20"/>
          <w:szCs w:val="20"/>
        </w:rPr>
        <w:t xml:space="preserve"> The status of the village as the lowest level of government according to Law 5 of 1999 1979 and sub-district. Unlike the previous law, this law regulates Village Administration separately from Law Number 5 of 1979 concerning Village Government</w:t>
      </w:r>
      <w:r w:rsidR="00F246FA" w:rsidRPr="00CC519B">
        <w:rPr>
          <w:rFonts w:ascii="Times New Roman" w:hAnsi="Times New Roman" w:cs="Times New Roman"/>
          <w:sz w:val="20"/>
          <w:szCs w:val="20"/>
          <w:lang w:val="en-US"/>
        </w:rPr>
        <w:t xml:space="preserve"> </w:t>
      </w:r>
      <w:r w:rsidR="00B17298"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{"citationItems":[{"id":"ITEM-1","itemData":{"DOI":"10.24815/jdab.v5i2.9057","ISSN":"2355-9462","abstract":"This study aims to examine the influence of district and city characteristics (fiscal decentralization ratio, dependency level on the central government, capital expenditure, age, regional status, population) and audit opinion on the performance of local and district government in Indonesia for the period of 2013-2015. Population of this study consists of all local government units of districts and cities in Indonesia for the years of 2013-2015. The purposive sampling method was used resulting in a total of 1,158 samples for three years period observations. The results of this study indicate that the variables of age area, population, and audit opinion have a positive effect on the performance of the studied Districts and Cities. Conversely, the dependency level on the central government has a negative effect on the performance of studied local governments. However, the ratio of fiscal decentralization, the capital expenditure, and the regional status have no effect on the performance of the local governments","author":[{"dropping-particle":"","family":"Dewata","given":"Evada","non-dropping-particle":"","parse-names":false,"suffix":""},{"dropping-particle":"","family":"Jauhari","given":"Hadi","non-dropping-particle":"","parse-names":false,"suffix":""},{"dropping-particle":"","family":"Aprianti","given":"Siska","non-dropping-particle":"","parse-names":false,"suffix":""},{"dropping-particle":"","family":"Hijria","given":"Eka Nurfa","non-dropping-particle":"","parse-names":false,"suffix":""}],"container-title":"Jurnal Dinamika Akuntansi dan Bisnis","id":"ITEM-1","issue":"2","issued":{"date-parts":[["2018"]]},"page":"151-162","title":"The Effects of Local Government Characteristics and Audit Opinion on the Performance of District and City Governments in Indonesia","type":"article-journal","volume":"5"},"uris":["http://www.mendeley.com/documents/?uuid=cbb89d25-6b31-4b0b-af9e-093aca873efc"]}],"mendeley":{"formattedCitation":"(Dewata &lt;i&gt;et al.&lt;/i&gt;, 2018)","plainTextFormattedCitation":"(Dewata et al., 2018)","previouslyFormattedCitation":"(Dewata &lt;i&gt;et al.&lt;/i&gt;, 2018)"},"properties":{"noteIndex":0},"schema":"https://github.com/citation-style-language/schema/raw/master/csl-citation.json"}</w:instrText>
      </w:r>
      <w:r w:rsidR="00B17298"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 xml:space="preserve">(Dewata </w:t>
      </w:r>
      <w:r w:rsidR="00267EEB" w:rsidRPr="00267EEB">
        <w:rPr>
          <w:rFonts w:ascii="Times New Roman" w:hAnsi="Times New Roman" w:cs="Times New Roman"/>
          <w:i/>
          <w:noProof/>
          <w:sz w:val="20"/>
          <w:szCs w:val="20"/>
        </w:rPr>
        <w:t>et al.</w:t>
      </w:r>
      <w:r w:rsidR="00267EEB" w:rsidRPr="00267EEB">
        <w:rPr>
          <w:rFonts w:ascii="Times New Roman" w:hAnsi="Times New Roman" w:cs="Times New Roman"/>
          <w:noProof/>
          <w:sz w:val="20"/>
          <w:szCs w:val="20"/>
        </w:rPr>
        <w:t>, 2018)</w:t>
      </w:r>
      <w:r w:rsidR="00B17298"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w:t>
      </w:r>
    </w:p>
    <w:p w14:paraId="74E7B593" w14:textId="77777777" w:rsidR="00023D5A" w:rsidRPr="00CC519B" w:rsidRDefault="00023D5A" w:rsidP="00CC519B">
      <w:pPr>
        <w:spacing w:line="360" w:lineRule="auto"/>
        <w:jc w:val="both"/>
        <w:rPr>
          <w:rFonts w:ascii="Times New Roman" w:hAnsi="Times New Roman" w:cs="Times New Roman"/>
          <w:sz w:val="20"/>
          <w:szCs w:val="20"/>
        </w:rPr>
      </w:pPr>
    </w:p>
    <w:p w14:paraId="07D8EC45" w14:textId="77777777" w:rsidR="00124CF3" w:rsidRPr="00CC519B" w:rsidRDefault="00124CF3" w:rsidP="00CC519B">
      <w:pPr>
        <w:pStyle w:val="ListParagraph"/>
        <w:numPr>
          <w:ilvl w:val="0"/>
          <w:numId w:val="1"/>
        </w:numPr>
        <w:spacing w:line="360" w:lineRule="auto"/>
        <w:jc w:val="both"/>
        <w:rPr>
          <w:rFonts w:ascii="Times New Roman" w:hAnsi="Times New Roman" w:cs="Times New Roman"/>
          <w:b/>
          <w:bCs/>
          <w:sz w:val="20"/>
          <w:szCs w:val="20"/>
        </w:rPr>
      </w:pPr>
      <w:r w:rsidRPr="00CC519B">
        <w:rPr>
          <w:rFonts w:ascii="Times New Roman" w:hAnsi="Times New Roman" w:cs="Times New Roman"/>
          <w:b/>
          <w:bCs/>
          <w:sz w:val="20"/>
          <w:szCs w:val="20"/>
        </w:rPr>
        <w:lastRenderedPageBreak/>
        <w:t xml:space="preserve">Village Regulations under Law No. 6 of 2014. </w:t>
      </w:r>
    </w:p>
    <w:p w14:paraId="0CF790C5" w14:textId="5335CE23" w:rsidR="00023D5A" w:rsidRPr="00CC519B" w:rsidRDefault="00124CF3"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In terms of local government legislation, it still needs improvement after 17 years of reform (1999-2016).  Separation Tactics Finally, the Regional Government Law No. 32 of 2004 came into effect, resulting in three new laws: the Regional Government Law, the Village Law, and the District Head Election Law. This is the culmination of years of work. After a long discussion, the legislators finally passed Law Number 6 of 2014 which discusses the Village, on January 15, 2014.</w:t>
      </w:r>
      <w:r w:rsidRPr="00CC519B">
        <w:rPr>
          <w:rFonts w:ascii="Times New Roman" w:hAnsi="Times New Roman" w:cs="Times New Roman"/>
          <w:sz w:val="20"/>
          <w:szCs w:val="20"/>
        </w:rPr>
        <w:t xml:space="preserve"> </w:t>
      </w:r>
      <w:r w:rsidRPr="00CC519B">
        <w:rPr>
          <w:rFonts w:ascii="Times New Roman" w:hAnsi="Times New Roman" w:cs="Times New Roman"/>
          <w:sz w:val="20"/>
          <w:szCs w:val="20"/>
          <w:lang w:val="en-US"/>
        </w:rPr>
        <w:t>The implementation of this law was outlined in Presidential Proclamation 43 of 2014, which has now been revised to Presidential Proclamation Number 47 of 2015, dated June 30, 2015. Law Number 22 of 1999, updated with Law Number 32 of 2004, and finally amended by Law Number 23 of 2014, has had a considerable influence on village government, especially with the issuance of Law No. Law No. 6 of 2014.</w:t>
      </w:r>
      <w:r w:rsidRPr="00CC519B">
        <w:rPr>
          <w:rFonts w:ascii="Times New Roman" w:hAnsi="Times New Roman" w:cs="Times New Roman"/>
          <w:sz w:val="20"/>
          <w:szCs w:val="20"/>
        </w:rPr>
        <w:t xml:space="preserve"> </w:t>
      </w:r>
      <w:r w:rsidRPr="00CC519B">
        <w:rPr>
          <w:rFonts w:ascii="Times New Roman" w:hAnsi="Times New Roman" w:cs="Times New Roman"/>
          <w:sz w:val="20"/>
          <w:szCs w:val="20"/>
          <w:lang w:val="en-US"/>
        </w:rPr>
        <w:t>Village governance in the Philippines has improved as a result of government legislation and the PP on village funds.</w:t>
      </w:r>
      <w:r w:rsidRPr="00CC519B">
        <w:rPr>
          <w:rFonts w:ascii="Times New Roman" w:hAnsi="Times New Roman" w:cs="Times New Roman"/>
          <w:sz w:val="20"/>
          <w:szCs w:val="20"/>
        </w:rPr>
        <w:t xml:space="preserve"> </w:t>
      </w:r>
      <w:r w:rsidRPr="00CC519B">
        <w:rPr>
          <w:rFonts w:ascii="Times New Roman" w:hAnsi="Times New Roman" w:cs="Times New Roman"/>
          <w:sz w:val="20"/>
          <w:szCs w:val="20"/>
          <w:lang w:val="en-US"/>
        </w:rPr>
        <w:t xml:space="preserve">Based on Pancasila, the 1945 Constitution of the Republic of Indonesia, the Unitary State of the Republic of Indonesia, and </w:t>
      </w:r>
      <w:proofErr w:type="spellStart"/>
      <w:r w:rsidRPr="00CC519B">
        <w:rPr>
          <w:rFonts w:ascii="Times New Roman" w:hAnsi="Times New Roman" w:cs="Times New Roman"/>
          <w:sz w:val="20"/>
          <w:szCs w:val="20"/>
          <w:lang w:val="en-US"/>
        </w:rPr>
        <w:t>Bhinneka</w:t>
      </w:r>
      <w:proofErr w:type="spellEnd"/>
      <w:r w:rsidRPr="00CC519B">
        <w:rPr>
          <w:rFonts w:ascii="Times New Roman" w:hAnsi="Times New Roman" w:cs="Times New Roman"/>
          <w:sz w:val="20"/>
          <w:szCs w:val="20"/>
          <w:lang w:val="en-US"/>
        </w:rPr>
        <w:t xml:space="preserve"> Tunggal </w:t>
      </w:r>
      <w:proofErr w:type="spellStart"/>
      <w:r w:rsidRPr="00CC519B">
        <w:rPr>
          <w:rFonts w:ascii="Times New Roman" w:hAnsi="Times New Roman" w:cs="Times New Roman"/>
          <w:sz w:val="20"/>
          <w:szCs w:val="20"/>
          <w:lang w:val="en-US"/>
        </w:rPr>
        <w:t>Ika</w:t>
      </w:r>
      <w:proofErr w:type="spellEnd"/>
      <w:r w:rsidRPr="00CC519B">
        <w:rPr>
          <w:rFonts w:ascii="Times New Roman" w:hAnsi="Times New Roman" w:cs="Times New Roman"/>
          <w:sz w:val="20"/>
          <w:szCs w:val="20"/>
          <w:lang w:val="en-US"/>
        </w:rPr>
        <w:t xml:space="preserve">, the State Budget has become the basic framework for administering village governance, village development, rural community development, and empowering rural communities and this initiative is funded by the State Budget (APBN) </w:t>
      </w:r>
      <w:r w:rsidR="00B17298"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{"citationItems":[{"id":"ITEM-1","itemData":{"DOI":"10.18202/jamal.2018.04.9031","abstract":"This article aims to investigate the impact of transparency, accountability, and the perfor- mance of village governments on village fund allocation. This study uses multiple regression method with 32 administrators in Trimulyo Village as a sample. This article finds that transparency is an important factor in managing village funds. Transparency can guarantee access for all people to get information about government organizations, namely information about policies, how to make and actualize, and the results achieved. In addition, the village officials are advised to submit in detail the devel- opment of village fund allocations to the community to obtain optimal results.","author":[{"dropping-particle":"","family":"Fitriyani","given":"Lita Yulita","non-dropping-particle":"","parse-names":false,"suffix":""},{"dropping-particle":"","family":"Marita","given":"Marita","non-dropping-particle":"","parse-names":false,"suffix":""},{"dropping-particle":"","family":"Widyastuti","given":"Widyastuti","non-dropping-particle":"","parse-names":false,"suffix":""},{"dropping-particle":"","family":"Nurahman","given":"Ridho Wahyu","non-dropping-particle":"","parse-names":false,"suffix":""}],"container-title":"Jurnal Akuntansi Multiparadigma","id":"ITEM-1","issue":"3","issued":{"date-parts":[["2018"]]},"page":"526-539","title":"Determinants of Village Fund Allocation","type":"article-journal","volume":"9"},"uris":["http://www.mendeley.com/documents/?uuid=db7bd0a8-8cb1-4768-96eb-ecb7a9bb5f6f"]}],"mendeley":{"formattedCitation":"(Fitriyani &lt;i&gt;et al.&lt;/i&gt;, 2018)","plainTextFormattedCitation":"(Fitriyani et al., 2018)","previouslyFormattedCitation":"(Fitriyani &lt;i&gt;et al.&lt;/i&gt;, 2018)"},"properties":{"noteIndex":0},"schema":"https://github.com/citation-style-language/schema/raw/master/csl-citation.json"}</w:instrText>
      </w:r>
      <w:r w:rsidR="00B17298"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 xml:space="preserve">(Fitriyani </w:t>
      </w:r>
      <w:r w:rsidR="00267EEB" w:rsidRPr="00267EEB">
        <w:rPr>
          <w:rFonts w:ascii="Times New Roman" w:hAnsi="Times New Roman" w:cs="Times New Roman"/>
          <w:i/>
          <w:noProof/>
          <w:sz w:val="20"/>
          <w:szCs w:val="20"/>
        </w:rPr>
        <w:t>et al.</w:t>
      </w:r>
      <w:r w:rsidR="00267EEB" w:rsidRPr="00267EEB">
        <w:rPr>
          <w:rFonts w:ascii="Times New Roman" w:hAnsi="Times New Roman" w:cs="Times New Roman"/>
          <w:noProof/>
          <w:sz w:val="20"/>
          <w:szCs w:val="20"/>
        </w:rPr>
        <w:t>, 2018)</w:t>
      </w:r>
      <w:r w:rsidR="00B17298"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w:t>
      </w:r>
    </w:p>
    <w:p w14:paraId="107989CB" w14:textId="77777777" w:rsidR="00023D5A" w:rsidRPr="00CC519B" w:rsidRDefault="00023D5A" w:rsidP="00CC519B">
      <w:pPr>
        <w:spacing w:line="360" w:lineRule="auto"/>
        <w:jc w:val="both"/>
        <w:rPr>
          <w:rFonts w:ascii="Times New Roman" w:hAnsi="Times New Roman" w:cs="Times New Roman"/>
          <w:sz w:val="20"/>
          <w:szCs w:val="20"/>
        </w:rPr>
      </w:pPr>
    </w:p>
    <w:p w14:paraId="4455612E" w14:textId="4363E788" w:rsidR="00124CF3" w:rsidRPr="00CC519B" w:rsidRDefault="00124CF3" w:rsidP="00CC519B">
      <w:pPr>
        <w:spacing w:line="360" w:lineRule="auto"/>
        <w:ind w:firstLine="720"/>
        <w:jc w:val="both"/>
        <w:rPr>
          <w:rFonts w:ascii="Times New Roman" w:hAnsi="Times New Roman" w:cs="Times New Roman"/>
          <w:sz w:val="20"/>
          <w:szCs w:val="20"/>
        </w:rPr>
      </w:pPr>
      <w:r w:rsidRPr="00CC519B">
        <w:rPr>
          <w:rFonts w:ascii="Times New Roman" w:hAnsi="Times New Roman" w:cs="Times New Roman"/>
          <w:sz w:val="20"/>
          <w:szCs w:val="20"/>
        </w:rPr>
        <w:t xml:space="preserve">Although the introduction of new laws and regulations in the administration of local government has had a significant impact on village governance since reform began with the ratification of Law No. 22 of 1999, which was later revised by Law No. 32 of 2004 and lastly amended by Law No. 23 of 2014, the ratification of Law No. 23 of 2014 also caused problems due to inconsistencies between the two laws </w:t>
      </w:r>
      <w:r w:rsidR="00B17298" w:rsidRPr="00CC519B">
        <w:rPr>
          <w:rFonts w:ascii="Times New Roman" w:hAnsi="Times New Roman" w:cs="Times New Roman"/>
          <w:sz w:val="20"/>
          <w:szCs w:val="20"/>
        </w:rPr>
        <w:fldChar w:fldCharType="begin" w:fldLock="1"/>
      </w:r>
      <w:r w:rsidR="009A67F3" w:rsidRPr="00CC519B">
        <w:rPr>
          <w:rFonts w:ascii="Times New Roman" w:hAnsi="Times New Roman" w:cs="Times New Roman"/>
          <w:sz w:val="20"/>
          <w:szCs w:val="20"/>
        </w:rPr>
        <w:instrText>ADDIN CSL_CITATION {"citationItems":[{"id":"ITEM-1","itemData":{"DOI":"10.31932/jpk.v4i1.373","abstract":"Berdasarkan peraturan No. 72 tahun 2005 tentang Desa menegaskan bahwa “Desa adalah kesatuan masyarakat hukum yang memiliki batas-batas wilayah dan berwenang untuk mengatur dan mengurus kepentingan masyarakat setempat, berdasarkan asal usul dan adat istiadat setempat yang diakui dan dihormati dalam sistem pemerintahan Negara Kesatuan Republik Indonesia”. Kabupaten Melawi merupakan salah satu wujud otonomi daerah yang merupakan  pemekaran dari Kabupaten Sintang yang ditetapkan dalam Undang-Undang No.34 tahun 2004 tentang pembentukan Kabupaten Melawi dan Kabupaten Sekadau di Provinsi Kalimantan Barat. Dengan demikian sebagai daerah otonomi luas pemerintahan Kabupaten Melawi memiliki kewenangan mengurus dan membuat kebijakan daerah untuk memberikan pelayanan, peningkatan peran serta, prakarsa dan pemberdayaan masyarakat, terutama ditingkat Desa. Desa mempunyai posisi strategis dalam penyelenggaraan pemerintah, pembangunan dan pelayanan kepada masyarakat. Kata Kunci : Pemerintahan Desa, Sistem, penyelenggaraan, Kebijakan","author":[{"dropping-particle":"","family":"Semaun","given":"Felix","non-dropping-particle":"","parse-names":false,"suffix":""}],"container-title":"JURNAL PEKAN : Jurnal Pendidikan Kewarganegaraan","id":"ITEM-1","issue":"1","issued":{"date-parts":[["2019"]]},"title":"PENYELENGGARAAN PEMERINTAHAN DESA","type":"article-journal","volume":"4"},"uris":["http://www.mendeley.com/documents/?uuid=790309ed-fc20-3219-b46e-6cf24ccf6b33"]}],"mendeley":{"formattedCitation":"(Semaun, 2019)","plainTextFormattedCitation":"(Semaun, 2019)","previouslyFormattedCitation":"(Semaun, 2019)"},"properties":{"noteIndex":0},"schema":"https://github.com/citation-style-language/schema/raw/master/csl-citation.json"}</w:instrText>
      </w:r>
      <w:r w:rsidR="00B17298" w:rsidRPr="00CC519B">
        <w:rPr>
          <w:rFonts w:ascii="Times New Roman" w:hAnsi="Times New Roman" w:cs="Times New Roman"/>
          <w:sz w:val="20"/>
          <w:szCs w:val="20"/>
        </w:rPr>
        <w:fldChar w:fldCharType="separate"/>
      </w:r>
      <w:r w:rsidR="00B17298" w:rsidRPr="00CC519B">
        <w:rPr>
          <w:rFonts w:ascii="Times New Roman" w:hAnsi="Times New Roman" w:cs="Times New Roman"/>
          <w:noProof/>
          <w:sz w:val="20"/>
          <w:szCs w:val="20"/>
        </w:rPr>
        <w:t>(Semaun, 2019)</w:t>
      </w:r>
      <w:r w:rsidR="00B17298"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 xml:space="preserve">. </w:t>
      </w:r>
      <w:r w:rsidRPr="00CC519B">
        <w:rPr>
          <w:rFonts w:ascii="Times New Roman" w:hAnsi="Times New Roman" w:cs="Times New Roman"/>
          <w:sz w:val="20"/>
          <w:szCs w:val="20"/>
        </w:rPr>
        <w:t xml:space="preserve">Several provisions in Law No. 23 of 2014 on villages failing to meet the requirements stipulated in Law No. 6 of 2014, which states that all village laws and regulations must comply with the provisions of Law No. 6 of 2014; a comparison of Law No. 23 of 2014 and Law No. 6 of 2014 is presented below. </w:t>
      </w:r>
    </w:p>
    <w:tbl>
      <w:tblPr>
        <w:tblStyle w:val="TableGrid"/>
        <w:tblW w:w="0" w:type="auto"/>
        <w:jc w:val="center"/>
        <w:tblLook w:val="04A0" w:firstRow="1" w:lastRow="0" w:firstColumn="1" w:lastColumn="0" w:noHBand="0" w:noVBand="1"/>
      </w:tblPr>
      <w:tblGrid>
        <w:gridCol w:w="4464"/>
        <w:gridCol w:w="4086"/>
      </w:tblGrid>
      <w:tr w:rsidR="00124CF3" w:rsidRPr="00CC519B" w14:paraId="6D32B82F" w14:textId="77777777" w:rsidTr="00124CF3">
        <w:trPr>
          <w:jc w:val="center"/>
        </w:trPr>
        <w:tc>
          <w:tcPr>
            <w:tcW w:w="4464" w:type="dxa"/>
          </w:tcPr>
          <w:p w14:paraId="2A0F9B6B" w14:textId="2F192280" w:rsidR="00124CF3" w:rsidRPr="00CC519B" w:rsidRDefault="00124CF3" w:rsidP="00CC519B">
            <w:pPr>
              <w:spacing w:line="360" w:lineRule="auto"/>
              <w:jc w:val="center"/>
              <w:rPr>
                <w:rFonts w:ascii="Times New Roman" w:hAnsi="Times New Roman" w:cs="Times New Roman"/>
                <w:sz w:val="20"/>
                <w:szCs w:val="20"/>
                <w:lang w:val="en-US"/>
              </w:rPr>
            </w:pPr>
            <w:r w:rsidRPr="00CC519B">
              <w:rPr>
                <w:rFonts w:ascii="Times New Roman" w:hAnsi="Times New Roman" w:cs="Times New Roman"/>
                <w:sz w:val="20"/>
                <w:szCs w:val="20"/>
                <w:lang w:val="en-US"/>
              </w:rPr>
              <w:t>Law No. 6 of 2014</w:t>
            </w:r>
          </w:p>
        </w:tc>
        <w:tc>
          <w:tcPr>
            <w:tcW w:w="4086" w:type="dxa"/>
          </w:tcPr>
          <w:p w14:paraId="33CA2679" w14:textId="19FCA0BC" w:rsidR="00124CF3" w:rsidRPr="00CC519B" w:rsidRDefault="00124CF3" w:rsidP="00CC519B">
            <w:pPr>
              <w:spacing w:line="360" w:lineRule="auto"/>
              <w:jc w:val="center"/>
              <w:rPr>
                <w:rFonts w:ascii="Times New Roman" w:hAnsi="Times New Roman" w:cs="Times New Roman"/>
                <w:sz w:val="20"/>
                <w:szCs w:val="20"/>
                <w:lang w:val="en-US"/>
              </w:rPr>
            </w:pPr>
            <w:r w:rsidRPr="00CC519B">
              <w:rPr>
                <w:rFonts w:ascii="Times New Roman" w:hAnsi="Times New Roman" w:cs="Times New Roman"/>
                <w:sz w:val="20"/>
                <w:szCs w:val="20"/>
                <w:lang w:val="en-US"/>
              </w:rPr>
              <w:t>Law No. 23 of 2014</w:t>
            </w:r>
          </w:p>
        </w:tc>
      </w:tr>
      <w:tr w:rsidR="00124CF3" w:rsidRPr="00CC519B" w14:paraId="01EBCCCF" w14:textId="77777777" w:rsidTr="00124CF3">
        <w:trPr>
          <w:jc w:val="center"/>
        </w:trPr>
        <w:tc>
          <w:tcPr>
            <w:tcW w:w="4464" w:type="dxa"/>
          </w:tcPr>
          <w:p w14:paraId="4DD0E72C" w14:textId="3481E81F" w:rsidR="00124CF3" w:rsidRPr="00CC519B" w:rsidRDefault="00124CF3"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The Government, Provincial Government, District/City Government encourage and supervise the implementation of Village Government. (Article 112)</w:t>
            </w:r>
          </w:p>
        </w:tc>
        <w:tc>
          <w:tcPr>
            <w:tcW w:w="4086" w:type="dxa"/>
          </w:tcPr>
          <w:p w14:paraId="624165D0" w14:textId="5458C21F" w:rsidR="00124CF3" w:rsidRPr="00CC519B" w:rsidRDefault="00124CF3"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rPr>
              <w:t>There is no central government guidance or supervision (Appendix for the division of Congruent Affairs in the PMD sector)</w:t>
            </w:r>
            <w:r w:rsidRPr="00CC519B">
              <w:rPr>
                <w:rFonts w:ascii="Times New Roman" w:hAnsi="Times New Roman" w:cs="Times New Roman"/>
                <w:sz w:val="20"/>
                <w:szCs w:val="20"/>
                <w:lang w:val="en-US"/>
              </w:rPr>
              <w:t>.</w:t>
            </w:r>
          </w:p>
        </w:tc>
      </w:tr>
      <w:tr w:rsidR="00124CF3" w:rsidRPr="00CC519B" w14:paraId="0B4F073F" w14:textId="77777777" w:rsidTr="00124CF3">
        <w:trPr>
          <w:jc w:val="center"/>
        </w:trPr>
        <w:tc>
          <w:tcPr>
            <w:tcW w:w="4464" w:type="dxa"/>
          </w:tcPr>
          <w:p w14:paraId="4E1CD86C" w14:textId="7C20B116" w:rsidR="00124CF3" w:rsidRPr="00CC519B" w:rsidRDefault="00E02462" w:rsidP="00CC519B">
            <w:pPr>
              <w:spacing w:line="360" w:lineRule="auto"/>
              <w:jc w:val="both"/>
              <w:rPr>
                <w:rFonts w:ascii="Times New Roman" w:hAnsi="Times New Roman" w:cs="Times New Roman"/>
                <w:sz w:val="20"/>
                <w:szCs w:val="20"/>
              </w:rPr>
            </w:pPr>
            <w:r w:rsidRPr="00CC519B">
              <w:rPr>
                <w:rFonts w:ascii="Times New Roman" w:hAnsi="Times New Roman" w:cs="Times New Roman"/>
                <w:sz w:val="20"/>
                <w:szCs w:val="20"/>
                <w:lang w:val="en-US"/>
              </w:rPr>
              <w:t>The Government, Provincial Government, District/City Government encourage and supervise the implementation of Village Government. (Article 112)</w:t>
            </w:r>
          </w:p>
        </w:tc>
        <w:tc>
          <w:tcPr>
            <w:tcW w:w="4086" w:type="dxa"/>
          </w:tcPr>
          <w:p w14:paraId="43A77C0E" w14:textId="7A0B80E8" w:rsidR="00124CF3"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rPr>
              <w:t xml:space="preserve">There is no </w:t>
            </w:r>
            <w:r w:rsidRPr="00CC519B">
              <w:rPr>
                <w:rFonts w:ascii="Times New Roman" w:hAnsi="Times New Roman" w:cs="Times New Roman"/>
                <w:sz w:val="20"/>
                <w:szCs w:val="20"/>
                <w:lang w:val="en-US"/>
              </w:rPr>
              <w:t>provincial</w:t>
            </w:r>
            <w:r w:rsidRPr="00CC519B">
              <w:rPr>
                <w:rFonts w:ascii="Times New Roman" w:hAnsi="Times New Roman" w:cs="Times New Roman"/>
                <w:sz w:val="20"/>
                <w:szCs w:val="20"/>
              </w:rPr>
              <w:t xml:space="preserve"> government guidance or supervision (Appendix for the division of Congruent Affairs in the PMD sector)</w:t>
            </w:r>
            <w:r w:rsidRPr="00CC519B">
              <w:rPr>
                <w:rFonts w:ascii="Times New Roman" w:hAnsi="Times New Roman" w:cs="Times New Roman"/>
                <w:sz w:val="20"/>
                <w:szCs w:val="20"/>
                <w:lang w:val="en-US"/>
              </w:rPr>
              <w:t>.</w:t>
            </w:r>
          </w:p>
        </w:tc>
      </w:tr>
      <w:tr w:rsidR="00124CF3" w:rsidRPr="00CC519B" w14:paraId="6D4F24BC" w14:textId="77777777" w:rsidTr="00124CF3">
        <w:trPr>
          <w:jc w:val="center"/>
        </w:trPr>
        <w:tc>
          <w:tcPr>
            <w:tcW w:w="4464" w:type="dxa"/>
          </w:tcPr>
          <w:p w14:paraId="71D5AD69" w14:textId="061142BF" w:rsidR="00124CF3"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 xml:space="preserve">The Government, Provincial Government and Regency/Municipal Governments may delegate </w:t>
            </w:r>
            <w:r w:rsidRPr="00CC519B">
              <w:rPr>
                <w:rFonts w:ascii="Times New Roman" w:hAnsi="Times New Roman" w:cs="Times New Roman"/>
                <w:sz w:val="20"/>
                <w:szCs w:val="20"/>
                <w:lang w:val="en-US"/>
              </w:rPr>
              <w:lastRenderedPageBreak/>
              <w:t>guidance and supervision to regional apparatus. (Article 112 paragraph 2)</w:t>
            </w:r>
          </w:p>
        </w:tc>
        <w:tc>
          <w:tcPr>
            <w:tcW w:w="4086" w:type="dxa"/>
          </w:tcPr>
          <w:p w14:paraId="2D6A97D2" w14:textId="3919A2D4" w:rsidR="00124CF3"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lastRenderedPageBreak/>
              <w:t xml:space="preserve">Village affairs are only considered as part of the DPMD's mission (Community and Village </w:t>
            </w:r>
            <w:r w:rsidRPr="00CC519B">
              <w:rPr>
                <w:rFonts w:ascii="Times New Roman" w:hAnsi="Times New Roman" w:cs="Times New Roman"/>
                <w:sz w:val="20"/>
                <w:szCs w:val="20"/>
                <w:lang w:val="en-US"/>
              </w:rPr>
              <w:lastRenderedPageBreak/>
              <w:t>Empowerment Sector). The local government does not see the importance of technical support from related sector agencies (fields) to villages</w:t>
            </w:r>
          </w:p>
        </w:tc>
      </w:tr>
      <w:tr w:rsidR="00124CF3" w:rsidRPr="00CC519B" w14:paraId="20D08E47" w14:textId="77777777" w:rsidTr="00124CF3">
        <w:trPr>
          <w:jc w:val="center"/>
        </w:trPr>
        <w:tc>
          <w:tcPr>
            <w:tcW w:w="4464" w:type="dxa"/>
          </w:tcPr>
          <w:p w14:paraId="10412B26" w14:textId="328E1FDD" w:rsidR="00124CF3" w:rsidRPr="00CC519B" w:rsidRDefault="00283734" w:rsidP="00CC519B">
            <w:pPr>
              <w:spacing w:line="360" w:lineRule="auto"/>
              <w:rPr>
                <w:rFonts w:ascii="Times New Roman" w:hAnsi="Times New Roman" w:cs="Times New Roman"/>
                <w:sz w:val="20"/>
                <w:szCs w:val="20"/>
                <w:lang w:val="en-US"/>
              </w:rPr>
            </w:pPr>
            <w:r w:rsidRPr="00CC519B">
              <w:rPr>
                <w:rFonts w:ascii="Times New Roman" w:hAnsi="Times New Roman" w:cs="Times New Roman"/>
                <w:sz w:val="20"/>
                <w:szCs w:val="20"/>
                <w:lang w:val="en-US"/>
              </w:rPr>
              <w:lastRenderedPageBreak/>
              <w:t>Make efforts to expedite rural development (Article 115 letter k, Guidance, and Supervision of Regency/City Regional Governments).</w:t>
            </w:r>
          </w:p>
        </w:tc>
        <w:tc>
          <w:tcPr>
            <w:tcW w:w="4086" w:type="dxa"/>
          </w:tcPr>
          <w:p w14:paraId="2F21052E" w14:textId="7567067E" w:rsidR="00124CF3"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Guidance and supervision are only available in the Village Government Administration field (Attachment to the Division of Congruent Affairs in the PMD Sector)</w:t>
            </w:r>
          </w:p>
        </w:tc>
      </w:tr>
      <w:tr w:rsidR="00283734" w:rsidRPr="00CC519B" w14:paraId="40AC518D" w14:textId="77777777" w:rsidTr="00124CF3">
        <w:trPr>
          <w:jc w:val="center"/>
        </w:trPr>
        <w:tc>
          <w:tcPr>
            <w:tcW w:w="4464" w:type="dxa"/>
          </w:tcPr>
          <w:p w14:paraId="050723CD" w14:textId="1DB72C13" w:rsidR="00283734"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Make efforts to promote village development through financial assistance, support, and technical assistance (Article 115 letter l, Guidance and Supervision of Regency/Municipal Governments)</w:t>
            </w:r>
          </w:p>
        </w:tc>
        <w:tc>
          <w:tcPr>
            <w:tcW w:w="4086" w:type="dxa"/>
          </w:tcPr>
          <w:p w14:paraId="7DF5257E" w14:textId="3B998322" w:rsidR="00283734" w:rsidRPr="00CC519B" w:rsidRDefault="00283734" w:rsidP="00CC519B">
            <w:pPr>
              <w:spacing w:line="360" w:lineRule="auto"/>
              <w:jc w:val="both"/>
              <w:rPr>
                <w:rFonts w:ascii="Times New Roman" w:hAnsi="Times New Roman" w:cs="Times New Roman"/>
                <w:sz w:val="20"/>
                <w:szCs w:val="20"/>
                <w:lang w:val="en-US"/>
              </w:rPr>
            </w:pPr>
            <w:r w:rsidRPr="00CC519B">
              <w:rPr>
                <w:rFonts w:ascii="Times New Roman" w:hAnsi="Times New Roman" w:cs="Times New Roman"/>
                <w:sz w:val="20"/>
                <w:szCs w:val="20"/>
                <w:lang w:val="en-US"/>
              </w:rPr>
              <w:t>Guidance and supervision are only available in the Village Government Administration field (Attachment to the Division of Congruent Affairs in the PMD Sector)</w:t>
            </w:r>
          </w:p>
        </w:tc>
      </w:tr>
    </w:tbl>
    <w:p w14:paraId="6C7BD529" w14:textId="497FF234" w:rsidR="00124CF3" w:rsidRPr="00CC519B" w:rsidRDefault="00283734" w:rsidP="00CC519B">
      <w:pPr>
        <w:tabs>
          <w:tab w:val="left" w:pos="4572"/>
        </w:tabs>
        <w:spacing w:line="360" w:lineRule="auto"/>
        <w:ind w:firstLine="720"/>
        <w:jc w:val="both"/>
        <w:rPr>
          <w:rFonts w:ascii="Times New Roman" w:hAnsi="Times New Roman" w:cs="Times New Roman"/>
          <w:sz w:val="20"/>
          <w:szCs w:val="20"/>
        </w:rPr>
      </w:pPr>
      <w:r w:rsidRPr="00CC519B">
        <w:rPr>
          <w:rFonts w:ascii="Times New Roman" w:hAnsi="Times New Roman" w:cs="Times New Roman"/>
          <w:sz w:val="20"/>
          <w:szCs w:val="20"/>
        </w:rPr>
        <w:tab/>
      </w:r>
    </w:p>
    <w:p w14:paraId="58C21EAF" w14:textId="77777777" w:rsidR="00124CF3" w:rsidRPr="00CC519B" w:rsidRDefault="00124CF3" w:rsidP="00CC519B">
      <w:pPr>
        <w:pStyle w:val="ListParagraph"/>
        <w:numPr>
          <w:ilvl w:val="0"/>
          <w:numId w:val="1"/>
        </w:numPr>
        <w:spacing w:line="360" w:lineRule="auto"/>
        <w:jc w:val="both"/>
        <w:rPr>
          <w:rFonts w:ascii="Times New Roman" w:hAnsi="Times New Roman" w:cs="Times New Roman"/>
          <w:b/>
          <w:bCs/>
          <w:sz w:val="20"/>
          <w:szCs w:val="20"/>
        </w:rPr>
      </w:pPr>
      <w:r w:rsidRPr="00CC519B">
        <w:rPr>
          <w:rFonts w:ascii="Times New Roman" w:hAnsi="Times New Roman" w:cs="Times New Roman"/>
          <w:b/>
          <w:bCs/>
          <w:sz w:val="20"/>
          <w:szCs w:val="20"/>
        </w:rPr>
        <w:t>The Effect of Village Law and Local Government Law Inconsistency</w:t>
      </w:r>
    </w:p>
    <w:p w14:paraId="0ADE260A" w14:textId="027FFB00" w:rsidR="00277642" w:rsidRPr="00CC519B" w:rsidRDefault="00124CF3" w:rsidP="00CC519B">
      <w:pPr>
        <w:spacing w:line="360" w:lineRule="auto"/>
        <w:ind w:firstLine="720"/>
        <w:jc w:val="both"/>
        <w:rPr>
          <w:rFonts w:ascii="Times New Roman" w:hAnsi="Times New Roman" w:cs="Times New Roman"/>
          <w:sz w:val="20"/>
          <w:szCs w:val="20"/>
          <w:lang w:val="en-US"/>
        </w:rPr>
      </w:pPr>
      <w:r w:rsidRPr="00CC519B">
        <w:rPr>
          <w:rFonts w:ascii="Times New Roman" w:hAnsi="Times New Roman" w:cs="Times New Roman"/>
          <w:sz w:val="20"/>
          <w:szCs w:val="20"/>
        </w:rPr>
        <w:t xml:space="preserve">The impact of the inconsistency of the two laws is very much felt in villages that have the potential for natural resources and human resources that can be optimized; as a result, various innovations from villages with this potential are not reached and are not touched by the district government, which is less than optimal. </w:t>
      </w:r>
      <w:r w:rsidR="00277642" w:rsidRPr="00CC519B">
        <w:rPr>
          <w:rFonts w:ascii="Times New Roman" w:hAnsi="Times New Roman" w:cs="Times New Roman"/>
          <w:sz w:val="20"/>
          <w:szCs w:val="20"/>
        </w:rPr>
        <w:t>Mentoring is another impact to consider; many villages that have begun to move toward village independence but are not supported optimally are ultimately inconsistent, and some even decline to become less developed villages due to a lack of optimal support from the local government; indeed, the presence of UU No. 6 of 2014 makes the village an independent village, and develops the potential of the existing village independently</w:t>
      </w:r>
      <w:r w:rsidR="00277642" w:rsidRPr="00CC519B">
        <w:rPr>
          <w:rFonts w:ascii="Times New Roman" w:hAnsi="Times New Roman" w:cs="Times New Roman"/>
          <w:sz w:val="20"/>
          <w:szCs w:val="20"/>
          <w:lang w:val="en-US"/>
        </w:rPr>
        <w:t xml:space="preserve"> </w:t>
      </w:r>
      <w:r w:rsidR="009A67F3" w:rsidRPr="00CC519B">
        <w:rPr>
          <w:rFonts w:ascii="Times New Roman" w:hAnsi="Times New Roman" w:cs="Times New Roman"/>
          <w:sz w:val="20"/>
          <w:szCs w:val="20"/>
        </w:rPr>
        <w:fldChar w:fldCharType="begin" w:fldLock="1"/>
      </w:r>
      <w:r w:rsidR="009A67F3" w:rsidRPr="00CC519B">
        <w:rPr>
          <w:rFonts w:ascii="Times New Roman" w:hAnsi="Times New Roman" w:cs="Times New Roman"/>
          <w:sz w:val="20"/>
          <w:szCs w:val="20"/>
        </w:rPr>
        <w:instrText>ADDIN CSL_CITATION {"citationItems":[{"id":"ITEM-1","itemData":{"abstract":"Perubahan system paradigma menjadikan masyarakat Desa semakin sadar akan kinerja pemerintah desa. mulai dari pemerintahan daerah sampai pemerintah terkecil yaitu desa. Penelitian ini menggunakan metode kualitatif, dengan cara wawancara, observasi, dan dokumentasi. analisis informan menggunakan Purposive Sampling. Data yang digunakan teknik analisis adalah proses reduksi data, penyajian , dan penarikan kesimpulan. hasil data ini menggunakan teknik triangulasi. penelitian menyimpulkan bahwa Pengelolaan ADD. Dalam meningkatkan pembangunan desa di Desa Gunungsari cukup baik, berdasarkan perspektif pengelolaan ADD yang dilakukan oleh Pemerintah Desa mengikuti aturan petunjuk teknis yang diatur dalam undang-undang. Hal ini dilihat dari proses pelaporan serta tanggung jawab yang mengalami keterlambatan pembangunan.","author":[{"dropping-particle":"","family":"Kristina Eti","given":"Septina Dwi Rahmawati","non-dropping-particle":"","parse-names":false,"suffix":""}],"container-title":"Ilmu Sosial dan Ilmu Politik","id":"ITEM-1","issue":"3","issued":{"date-parts":[["2019"]]},"title":"Analisis Pengelolaan Alokasi Dana Desa Dalam Pembangunan Desa","type":"article-journal","volume":"8"},"uris":["http://www.mendeley.com/documents/?uuid=f7e22214-eec1-3631-8751-33e8bf8babe7"]}],"mendeley":{"formattedCitation":"(Kristina Eti, 2019)","plainTextFormattedCitation":"(Kristina Eti, 2019)","previouslyFormattedCitation":"(Kristina Eti, 2019)"},"properties":{"noteIndex":0},"schema":"https://github.com/citation-style-language/schema/raw/master/csl-citation.json"}</w:instrText>
      </w:r>
      <w:r w:rsidR="009A67F3" w:rsidRPr="00CC519B">
        <w:rPr>
          <w:rFonts w:ascii="Times New Roman" w:hAnsi="Times New Roman" w:cs="Times New Roman"/>
          <w:sz w:val="20"/>
          <w:szCs w:val="20"/>
        </w:rPr>
        <w:fldChar w:fldCharType="separate"/>
      </w:r>
      <w:r w:rsidR="009A67F3" w:rsidRPr="00CC519B">
        <w:rPr>
          <w:rFonts w:ascii="Times New Roman" w:hAnsi="Times New Roman" w:cs="Times New Roman"/>
          <w:noProof/>
          <w:sz w:val="20"/>
          <w:szCs w:val="20"/>
        </w:rPr>
        <w:t>(Kristina Eti, 2019)</w:t>
      </w:r>
      <w:r w:rsidR="009A67F3"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 xml:space="preserve">. </w:t>
      </w:r>
      <w:r w:rsidR="00277642" w:rsidRPr="00CC519B">
        <w:rPr>
          <w:rFonts w:ascii="Times New Roman" w:hAnsi="Times New Roman" w:cs="Times New Roman"/>
          <w:sz w:val="20"/>
          <w:szCs w:val="20"/>
        </w:rPr>
        <w:t>However, this cannot be used as a standard, as the village must be self-sufficient</w:t>
      </w:r>
      <w:r w:rsidR="00277642" w:rsidRPr="00CC519B">
        <w:rPr>
          <w:rFonts w:ascii="Times New Roman" w:hAnsi="Times New Roman" w:cs="Times New Roman"/>
          <w:sz w:val="20"/>
          <w:szCs w:val="20"/>
          <w:lang w:val="en-US"/>
        </w:rPr>
        <w:t>, the need for support from the government makes the village controlled and coordinated from top to bottom.</w:t>
      </w:r>
      <w:r w:rsidR="00277642" w:rsidRPr="00CC519B">
        <w:rPr>
          <w:rFonts w:ascii="Times New Roman" w:hAnsi="Times New Roman" w:cs="Times New Roman"/>
          <w:sz w:val="20"/>
          <w:szCs w:val="20"/>
        </w:rPr>
        <w:t xml:space="preserve"> </w:t>
      </w:r>
      <w:r w:rsidR="00277642" w:rsidRPr="00CC519B">
        <w:rPr>
          <w:rFonts w:ascii="Times New Roman" w:hAnsi="Times New Roman" w:cs="Times New Roman"/>
          <w:sz w:val="20"/>
          <w:szCs w:val="20"/>
          <w:lang w:val="en-US"/>
        </w:rPr>
        <w:t xml:space="preserve">One form of example that occurs in the field is in village development in the tourism sector in </w:t>
      </w:r>
      <w:proofErr w:type="spellStart"/>
      <w:r w:rsidR="00277642" w:rsidRPr="00CC519B">
        <w:rPr>
          <w:rFonts w:ascii="Times New Roman" w:hAnsi="Times New Roman" w:cs="Times New Roman"/>
          <w:sz w:val="20"/>
          <w:szCs w:val="20"/>
          <w:lang w:val="en-US"/>
        </w:rPr>
        <w:t>Ketanen</w:t>
      </w:r>
      <w:proofErr w:type="spellEnd"/>
      <w:r w:rsidR="00277642" w:rsidRPr="00CC519B">
        <w:rPr>
          <w:rFonts w:ascii="Times New Roman" w:hAnsi="Times New Roman" w:cs="Times New Roman"/>
          <w:sz w:val="20"/>
          <w:szCs w:val="20"/>
          <w:lang w:val="en-US"/>
        </w:rPr>
        <w:t xml:space="preserve"> village, </w:t>
      </w:r>
      <w:proofErr w:type="spellStart"/>
      <w:r w:rsidR="00277642" w:rsidRPr="00CC519B">
        <w:rPr>
          <w:rFonts w:ascii="Times New Roman" w:hAnsi="Times New Roman" w:cs="Times New Roman"/>
          <w:sz w:val="20"/>
          <w:szCs w:val="20"/>
          <w:lang w:val="en-US"/>
        </w:rPr>
        <w:t>Panceng</w:t>
      </w:r>
      <w:proofErr w:type="spellEnd"/>
      <w:r w:rsidR="00277642" w:rsidRPr="00CC519B">
        <w:rPr>
          <w:rFonts w:ascii="Times New Roman" w:hAnsi="Times New Roman" w:cs="Times New Roman"/>
          <w:sz w:val="20"/>
          <w:szCs w:val="20"/>
          <w:lang w:val="en-US"/>
        </w:rPr>
        <w:t xml:space="preserve"> district, Gresik regency. </w:t>
      </w:r>
      <w:proofErr w:type="spellStart"/>
      <w:r w:rsidR="00277642" w:rsidRPr="00CC519B">
        <w:rPr>
          <w:rFonts w:ascii="Times New Roman" w:hAnsi="Times New Roman" w:cs="Times New Roman"/>
          <w:sz w:val="20"/>
          <w:szCs w:val="20"/>
          <w:lang w:val="en-US"/>
        </w:rPr>
        <w:t>Ketanen</w:t>
      </w:r>
      <w:proofErr w:type="spellEnd"/>
      <w:r w:rsidR="00277642" w:rsidRPr="00CC519B">
        <w:rPr>
          <w:rFonts w:ascii="Times New Roman" w:hAnsi="Times New Roman" w:cs="Times New Roman"/>
          <w:sz w:val="20"/>
          <w:szCs w:val="20"/>
          <w:lang w:val="en-US"/>
        </w:rPr>
        <w:t xml:space="preserve"> village has very abundant natural potential, namely Limestone Mountains, which can be used as a village tourist attraction in addition to being used by residents as house foundation material.</w:t>
      </w:r>
      <w:r w:rsidR="00277642" w:rsidRPr="00CC519B">
        <w:rPr>
          <w:rFonts w:ascii="Times New Roman" w:hAnsi="Times New Roman" w:cs="Times New Roman"/>
          <w:sz w:val="20"/>
          <w:szCs w:val="20"/>
        </w:rPr>
        <w:t xml:space="preserve"> </w:t>
      </w:r>
      <w:r w:rsidR="00277642" w:rsidRPr="00CC519B">
        <w:rPr>
          <w:rFonts w:ascii="Times New Roman" w:hAnsi="Times New Roman" w:cs="Times New Roman"/>
          <w:sz w:val="20"/>
          <w:szCs w:val="20"/>
          <w:lang w:val="en-US"/>
        </w:rPr>
        <w:t xml:space="preserve">It is an innovation from the </w:t>
      </w:r>
      <w:proofErr w:type="spellStart"/>
      <w:r w:rsidR="00277642" w:rsidRPr="00CC519B">
        <w:rPr>
          <w:rFonts w:ascii="Times New Roman" w:hAnsi="Times New Roman" w:cs="Times New Roman"/>
          <w:sz w:val="20"/>
          <w:szCs w:val="20"/>
          <w:lang w:val="en-US"/>
        </w:rPr>
        <w:t>Ketanen</w:t>
      </w:r>
      <w:proofErr w:type="spellEnd"/>
      <w:r w:rsidR="00277642" w:rsidRPr="00CC519B">
        <w:rPr>
          <w:rFonts w:ascii="Times New Roman" w:hAnsi="Times New Roman" w:cs="Times New Roman"/>
          <w:sz w:val="20"/>
          <w:szCs w:val="20"/>
          <w:lang w:val="en-US"/>
        </w:rPr>
        <w:t xml:space="preserve"> village government to transform former limestone quarries into a tourism object that can empower village communities, the initial plan began in 2018 and was then realized in 2019 to build an initial design, at that stage, guidance and assistance from the local government does not exist even though it is an early stage of development, namely the design of village tourism designs, then development begins in 2021. There is no guidance or support from the local government, particularly relevant agencies, at that level, yet guidance should be provided at that moment.</w:t>
      </w:r>
      <w:r w:rsidR="00277642" w:rsidRPr="00CC519B">
        <w:rPr>
          <w:rFonts w:ascii="Times New Roman" w:hAnsi="Times New Roman" w:cs="Times New Roman"/>
          <w:sz w:val="20"/>
          <w:szCs w:val="20"/>
        </w:rPr>
        <w:t xml:space="preserve"> </w:t>
      </w:r>
      <w:r w:rsidR="00277642" w:rsidRPr="00CC519B">
        <w:rPr>
          <w:rFonts w:ascii="Times New Roman" w:hAnsi="Times New Roman" w:cs="Times New Roman"/>
          <w:sz w:val="20"/>
          <w:szCs w:val="20"/>
          <w:lang w:val="en-US"/>
        </w:rPr>
        <w:t xml:space="preserve">Assistance directly in the field is desperately needed for tourist management and management, not only for tourism managers but also for the larger community participating in it, especially the MSMEs who will complete the tour should receive optimal guidance and assistance. As a result of these issues, the village government has always felt a lack of assistance from the local government in terms of community empowerment </w:t>
      </w:r>
      <w:r w:rsidR="00277642" w:rsidRPr="00CC519B">
        <w:rPr>
          <w:rFonts w:ascii="Times New Roman" w:hAnsi="Times New Roman" w:cs="Times New Roman"/>
          <w:sz w:val="20"/>
          <w:szCs w:val="20"/>
          <w:lang w:val="en-US"/>
        </w:rPr>
        <w:lastRenderedPageBreak/>
        <w:t>to participate in the village's development.</w:t>
      </w:r>
      <w:r w:rsidR="00277642" w:rsidRPr="00CC519B">
        <w:rPr>
          <w:rFonts w:ascii="Times New Roman" w:hAnsi="Times New Roman" w:cs="Times New Roman"/>
          <w:sz w:val="20"/>
          <w:szCs w:val="20"/>
        </w:rPr>
        <w:t xml:space="preserve"> </w:t>
      </w:r>
      <w:r w:rsidR="00277642" w:rsidRPr="00CC519B">
        <w:rPr>
          <w:rFonts w:ascii="Times New Roman" w:hAnsi="Times New Roman" w:cs="Times New Roman"/>
          <w:sz w:val="20"/>
          <w:szCs w:val="20"/>
          <w:lang w:val="en-US"/>
        </w:rPr>
        <w:t>It is undeniable that the Supervision Guidance program and also village assistance are very rarely carried out by local governments, the existing coaching activities are only a form of socialization that is held centrally, not directly in the field, even if it is only scheduled every semester which means twice a year, this is a form of real problems in the field, namely at the rural level, the lack and absence of direct guidance and assistance to the village is a form of the consequence of the inconsistency in the two laws.</w:t>
      </w:r>
    </w:p>
    <w:p w14:paraId="7FAF13F7" w14:textId="77777777" w:rsidR="00023D5A" w:rsidRPr="00CC519B" w:rsidRDefault="00023D5A" w:rsidP="00CC519B">
      <w:pPr>
        <w:spacing w:line="360" w:lineRule="auto"/>
        <w:jc w:val="both"/>
        <w:rPr>
          <w:rFonts w:ascii="Times New Roman" w:hAnsi="Times New Roman" w:cs="Times New Roman"/>
          <w:sz w:val="20"/>
          <w:szCs w:val="20"/>
        </w:rPr>
      </w:pPr>
    </w:p>
    <w:p w14:paraId="54AFDA8D" w14:textId="6FFD30CD" w:rsidR="00277642" w:rsidRPr="00CC519B" w:rsidRDefault="00277642" w:rsidP="00CC519B">
      <w:pPr>
        <w:pStyle w:val="ListParagraph"/>
        <w:numPr>
          <w:ilvl w:val="0"/>
          <w:numId w:val="1"/>
        </w:numPr>
        <w:spacing w:line="360" w:lineRule="auto"/>
        <w:jc w:val="both"/>
        <w:rPr>
          <w:rFonts w:ascii="Times New Roman" w:hAnsi="Times New Roman" w:cs="Times New Roman"/>
          <w:b/>
          <w:bCs/>
          <w:sz w:val="20"/>
          <w:szCs w:val="20"/>
        </w:rPr>
      </w:pPr>
      <w:r w:rsidRPr="00CC519B">
        <w:rPr>
          <w:rFonts w:ascii="Times New Roman" w:hAnsi="Times New Roman" w:cs="Times New Roman"/>
          <w:b/>
          <w:bCs/>
          <w:sz w:val="20"/>
          <w:szCs w:val="20"/>
        </w:rPr>
        <w:t xml:space="preserve">Central Government Efforts to </w:t>
      </w:r>
      <w:r w:rsidRPr="00CC519B">
        <w:rPr>
          <w:rFonts w:ascii="Times New Roman" w:hAnsi="Times New Roman" w:cs="Times New Roman"/>
          <w:b/>
          <w:bCs/>
          <w:sz w:val="20"/>
          <w:szCs w:val="20"/>
          <w:lang w:val="en-US"/>
        </w:rPr>
        <w:t>Address</w:t>
      </w:r>
      <w:r w:rsidRPr="00CC519B">
        <w:rPr>
          <w:rFonts w:ascii="Times New Roman" w:hAnsi="Times New Roman" w:cs="Times New Roman"/>
          <w:b/>
          <w:bCs/>
          <w:sz w:val="20"/>
          <w:szCs w:val="20"/>
        </w:rPr>
        <w:t xml:space="preserve"> Inconsistency</w:t>
      </w:r>
    </w:p>
    <w:p w14:paraId="5006D78A" w14:textId="1AA2A267" w:rsidR="00023D5A" w:rsidRPr="00CC519B" w:rsidRDefault="00277642" w:rsidP="00CC519B">
      <w:pPr>
        <w:spacing w:line="360" w:lineRule="auto"/>
        <w:ind w:firstLine="720"/>
        <w:jc w:val="both"/>
        <w:rPr>
          <w:rFonts w:ascii="Times New Roman" w:hAnsi="Times New Roman" w:cs="Times New Roman"/>
          <w:sz w:val="20"/>
          <w:szCs w:val="20"/>
          <w:lang w:val="en-US"/>
        </w:rPr>
      </w:pPr>
      <w:r w:rsidRPr="00CC519B">
        <w:rPr>
          <w:rFonts w:ascii="Times New Roman" w:hAnsi="Times New Roman" w:cs="Times New Roman"/>
          <w:sz w:val="20"/>
          <w:szCs w:val="20"/>
        </w:rPr>
        <w:t>In order to address this issue, the central government must promptly adopt and ratify a Government Regulation Concerning the Implementation of Concurrent Government Affairs in accordance with the mandate of CHAPTER IV, Part Three, Article 21 of Law No. 23 of 2014: "Further provisions governing the implementation of concurrent government matters are governed in government regulations," according to Law No. 23 of 2014 concerning Regional Government Article 9 paragraph 1. "Concurrent Government Affairs [UPK] are government affairs that are divided between the central government and the province and district/city areas." Concurrent government activities include provincial and district/city responsibilities. If the Implementing Regulations of Law Number 23 of 2014 which have been promulgated by the Central Government, have not been ratified eight years after being issued, then there are ways and solutions to harmonize Law Number 23 with Law Number 6 On Monday, August 10, 2020, data and information collected from the Ministry of Home Affairs shows that there is already an RPP for the Implementation of Dual Government Affairs. This is how the State Secretariat calculates the RPP (95</w:t>
      </w:r>
      <w:r w:rsidRPr="00CC519B">
        <w:rPr>
          <w:rFonts w:ascii="Times New Roman" w:hAnsi="Times New Roman" w:cs="Times New Roman"/>
          <w:sz w:val="20"/>
          <w:szCs w:val="20"/>
          <w:lang w:val="en-US"/>
        </w:rPr>
        <w:t>%</w:t>
      </w:r>
      <w:r w:rsidRPr="00CC519B">
        <w:rPr>
          <w:rFonts w:ascii="Times New Roman" w:hAnsi="Times New Roman" w:cs="Times New Roman"/>
          <w:sz w:val="20"/>
          <w:szCs w:val="20"/>
        </w:rPr>
        <w:t>)</w:t>
      </w:r>
      <w:r w:rsidRPr="00CC519B">
        <w:rPr>
          <w:rFonts w:ascii="Times New Roman" w:hAnsi="Times New Roman" w:cs="Times New Roman"/>
          <w:sz w:val="20"/>
          <w:szCs w:val="20"/>
          <w:lang w:val="en-US"/>
        </w:rPr>
        <w:t xml:space="preserve"> </w:t>
      </w:r>
      <w:r w:rsidR="009A67F3"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{"citationItems":[{"id":"ITEM-1","itemData":{"DOI":"10.20885/ejem.vol7.iss1.art1","ISSN":"20863128","abstract":"Pelaksanaan otonomi daerah telah berjalan hampir 15 tahun. Akan tetapi tujuan otonomi daerah untuk meningkatkan kesejahteraan masyarakat belum tercapai sepenuhnya. Oleh karena itu, penelitian ini bertujuan untuk mengevaluasi pelaksanaan otonomi daerah di Indonesia. Kami meneliti peran otonomi daerah untuk meningkatkan kesejahteraan masyarakat dengan menggunakan belanja modal dan pertumbuhan ekonomi sebagai variabel intervening dari 461 kabupaten dan kota di Indonesia, periode 2006- 2013, menggunakan Partial Least Square untuk pengujian hipotesis. Hasil pengujian menunjukkan bahwa otonomi daerah berpengaruh signifikan terhadap belanja, pertumbuhan ekonomi, dan kesejahteraan masyarakat. Belanja modal berpengaruh signifikan terhadap pertumbuhan ekonomi namun tidak berpengaruh signifikan terhadap kesejahteraan masyarakat. Pertumbuhan ekonomi berpengaruh signifikan terhadap kesejahteraan masyarakat.","author":[{"dropping-particle":"","family":"Badrudin","given":"Rudy","non-dropping-particle":"","parse-names":false,"suffix":""},{"dropping-particle":"","family":"Siregar","given":"Baldric","non-dropping-particle":"","parse-names":false,"suffix":""}],"container-title":"Economic Journal of Emerging Markets","id":"ITEM-1","issue":"1","issued":{"date-parts":[["2015"]]},"page":"1-11","title":"The evaluation of the implementation of regional autonomy in Indonesia","type":"article-journal","volume":"7"},"uris":["http://www.mendeley.com/documents/?uuid=aed0f817-acdf-47f0-b5d5-f5739f9ca3b8"]}],"mendeley":{"formattedCitation":"(Badrudin and Siregar, 2015)","plainTextFormattedCitation":"(Badrudin and Siregar, 2015)","previouslyFormattedCitation":"(Badrudin and Siregar, 2015)"},"properties":{"noteIndex":0},"schema":"https://github.com/citation-style-language/schema/raw/master/csl-citation.json"}</w:instrText>
      </w:r>
      <w:r w:rsidR="009A67F3" w:rsidRPr="00CC519B">
        <w:rPr>
          <w:rFonts w:ascii="Times New Roman" w:hAnsi="Times New Roman" w:cs="Times New Roman"/>
          <w:sz w:val="20"/>
          <w:szCs w:val="20"/>
        </w:rPr>
        <w:fldChar w:fldCharType="separate"/>
      </w:r>
      <w:r w:rsidR="00267EEB" w:rsidRPr="00267EEB">
        <w:rPr>
          <w:rFonts w:ascii="Times New Roman" w:hAnsi="Times New Roman" w:cs="Times New Roman"/>
          <w:noProof/>
          <w:sz w:val="20"/>
          <w:szCs w:val="20"/>
        </w:rPr>
        <w:t>(Badrudin and Siregar, 2015)</w:t>
      </w:r>
      <w:r w:rsidR="009A67F3" w:rsidRPr="00CC519B">
        <w:rPr>
          <w:rFonts w:ascii="Times New Roman" w:hAnsi="Times New Roman" w:cs="Times New Roman"/>
          <w:sz w:val="20"/>
          <w:szCs w:val="20"/>
        </w:rPr>
        <w:fldChar w:fldCharType="end"/>
      </w:r>
      <w:r w:rsidR="009A67F3" w:rsidRPr="00CC519B">
        <w:rPr>
          <w:rFonts w:ascii="Times New Roman" w:hAnsi="Times New Roman" w:cs="Times New Roman"/>
          <w:sz w:val="20"/>
          <w:szCs w:val="20"/>
          <w:lang w:val="en-US"/>
        </w:rPr>
        <w:t>.</w:t>
      </w:r>
    </w:p>
    <w:p w14:paraId="3AADCF66" w14:textId="77777777" w:rsidR="00277642" w:rsidRPr="00CC519B" w:rsidRDefault="00277642" w:rsidP="00CC519B">
      <w:pPr>
        <w:spacing w:line="360" w:lineRule="auto"/>
        <w:jc w:val="both"/>
        <w:rPr>
          <w:rFonts w:ascii="Times New Roman" w:hAnsi="Times New Roman" w:cs="Times New Roman"/>
          <w:sz w:val="20"/>
          <w:szCs w:val="20"/>
        </w:rPr>
      </w:pPr>
    </w:p>
    <w:p w14:paraId="38FA487B" w14:textId="77777777" w:rsidR="00277642" w:rsidRPr="00CC519B" w:rsidRDefault="00277642" w:rsidP="00CC519B">
      <w:pPr>
        <w:spacing w:line="360" w:lineRule="auto"/>
        <w:jc w:val="both"/>
        <w:rPr>
          <w:rFonts w:ascii="Times New Roman" w:hAnsi="Times New Roman" w:cs="Times New Roman"/>
          <w:sz w:val="20"/>
          <w:szCs w:val="20"/>
        </w:rPr>
      </w:pPr>
    </w:p>
    <w:p w14:paraId="2F2B68C5" w14:textId="46B9AFFC" w:rsidR="00023D5A" w:rsidRPr="00CC519B" w:rsidRDefault="00277642" w:rsidP="00CC519B">
      <w:pPr>
        <w:spacing w:line="360" w:lineRule="auto"/>
        <w:jc w:val="both"/>
        <w:rPr>
          <w:rFonts w:ascii="Times New Roman" w:hAnsi="Times New Roman" w:cs="Times New Roman"/>
          <w:b/>
          <w:bCs/>
          <w:sz w:val="20"/>
          <w:szCs w:val="20"/>
        </w:rPr>
      </w:pPr>
      <w:r w:rsidRPr="00CC519B">
        <w:rPr>
          <w:rFonts w:ascii="Times New Roman" w:hAnsi="Times New Roman" w:cs="Times New Roman"/>
          <w:b/>
          <w:bCs/>
          <w:sz w:val="20"/>
          <w:szCs w:val="20"/>
          <w:lang w:val="en-US"/>
        </w:rPr>
        <w:t xml:space="preserve">Conclusion </w:t>
      </w:r>
    </w:p>
    <w:p w14:paraId="5AD42E57" w14:textId="711B78FF" w:rsidR="00277642" w:rsidRPr="00CC519B" w:rsidRDefault="00277642" w:rsidP="00CC519B">
      <w:pPr>
        <w:spacing w:line="360" w:lineRule="auto"/>
        <w:ind w:firstLine="720"/>
        <w:jc w:val="both"/>
        <w:rPr>
          <w:rFonts w:ascii="Times New Roman" w:hAnsi="Times New Roman" w:cs="Times New Roman"/>
          <w:sz w:val="20"/>
          <w:szCs w:val="20"/>
        </w:rPr>
      </w:pPr>
      <w:r w:rsidRPr="00CC519B">
        <w:rPr>
          <w:rFonts w:ascii="Times New Roman" w:hAnsi="Times New Roman" w:cs="Times New Roman"/>
          <w:sz w:val="20"/>
          <w:szCs w:val="20"/>
        </w:rPr>
        <w:t>The Unitary State of the Republic of Indonesia refers to the regions, cities, and other areas of the Unitary State of the Republic of Indonesia as a whole. States have legal authority over the territory, villages, and particular communities that they manage. Everyone is subject to state law, and no one is exempt. When residents of a community agree to establish a village government, they agree to form a legal community unit known as a village, and the village must then be subject to the state's rule of law. The village government is a symbol of local power</w:t>
      </w:r>
      <w:r w:rsidRPr="00CC519B">
        <w:rPr>
          <w:rFonts w:ascii="Times New Roman" w:hAnsi="Times New Roman" w:cs="Times New Roman"/>
          <w:sz w:val="20"/>
          <w:szCs w:val="20"/>
          <w:lang w:val="en-US"/>
        </w:rPr>
        <w:t xml:space="preserve"> </w:t>
      </w:r>
      <w:r w:rsidR="00881A6F" w:rsidRPr="00CC519B">
        <w:rPr>
          <w:rFonts w:ascii="Times New Roman" w:hAnsi="Times New Roman" w:cs="Times New Roman"/>
          <w:sz w:val="20"/>
          <w:szCs w:val="20"/>
        </w:rPr>
        <w:fldChar w:fldCharType="begin" w:fldLock="1"/>
      </w:r>
      <w:r w:rsidR="00267EEB">
        <w:rPr>
          <w:rFonts w:ascii="Times New Roman" w:hAnsi="Times New Roman" w:cs="Times New Roman"/>
          <w:sz w:val="20"/>
          <w:szCs w:val="20"/>
        </w:rPr>
        <w:instrText>ADDIN CSL_CITATION {"citationItems":[{"id":"ITEM-1","itemData":{"author":[{"dropping-particle":"","family":"Rahayu","given":"Depi","non-dropping-particle":"","parse-names":false,"suffix":""}],"container-title":"Economics Development Analysis Journal","id":"ITEM-1","issue":"2","issued":{"date-parts":[["2017"]]},"page":"107-116","title":"Economics Development Analysis Journal Strategi Pengelolaan Dana Desa untuk Meningkatkan Kesejahteraan Masyarakat Desa Kalikayen Kabupaten Semarang Depi Rahayu 1</w:instrText>
      </w:r>
      <w:r w:rsidR="00267EEB">
        <w:rPr>
          <w:rFonts w:ascii="Times New Roman" w:hAnsi="Times New Roman" w:cs="Times New Roman"/>
          <w:sz w:val="20"/>
          <w:szCs w:val="20"/>
        </w:rPr>
        <w:instrText>","type":"article-journal","volume":"6"},"uris":["http://www.mendeley.com/documents/?uuid=d79df007-07d9-4f64-8066-dcf2b40b5cc6"]}],"mendeley":{"formattedCitation":"(Rahayu, 2017)","plainTextFormattedCitation":"(Rahayu, 2017)","previouslyFormattedCitation":"(Rahayu, 2017)"},"properties":{"noteIndex":0},"schema":"https://github.com/citation-style-language/schema/raw/master/csl-citation.json"}</w:instrText>
      </w:r>
      <w:r w:rsidR="00881A6F" w:rsidRPr="00CC519B">
        <w:rPr>
          <w:rFonts w:ascii="Times New Roman" w:hAnsi="Times New Roman" w:cs="Times New Roman"/>
          <w:sz w:val="20"/>
          <w:szCs w:val="20"/>
        </w:rPr>
        <w:fldChar w:fldCharType="separate"/>
      </w:r>
      <w:r w:rsidR="00881A6F" w:rsidRPr="00CC519B">
        <w:rPr>
          <w:rFonts w:ascii="Times New Roman" w:hAnsi="Times New Roman" w:cs="Times New Roman"/>
          <w:noProof/>
          <w:sz w:val="20"/>
          <w:szCs w:val="20"/>
        </w:rPr>
        <w:t>(Rahayu, 2017)</w:t>
      </w:r>
      <w:r w:rsidR="00881A6F" w:rsidRPr="00CC519B">
        <w:rPr>
          <w:rFonts w:ascii="Times New Roman" w:hAnsi="Times New Roman" w:cs="Times New Roman"/>
          <w:sz w:val="20"/>
          <w:szCs w:val="20"/>
        </w:rPr>
        <w:fldChar w:fldCharType="end"/>
      </w:r>
      <w:r w:rsidR="00023D5A" w:rsidRPr="00CC519B">
        <w:rPr>
          <w:rFonts w:ascii="Times New Roman" w:hAnsi="Times New Roman" w:cs="Times New Roman"/>
          <w:sz w:val="20"/>
          <w:szCs w:val="20"/>
        </w:rPr>
        <w:t xml:space="preserve">. </w:t>
      </w:r>
      <w:r w:rsidRPr="00CC519B">
        <w:rPr>
          <w:rFonts w:ascii="Times New Roman" w:hAnsi="Times New Roman" w:cs="Times New Roman"/>
          <w:sz w:val="20"/>
          <w:szCs w:val="20"/>
        </w:rPr>
        <w:t>State legal requirements that must be respected and implemented by the villagers is a binding link between the village and the district/city. However, when Law No. 23 of 2014 about Regional Government was ratified, there are regulations affecting villages connected to Regional Government in Supporting Village Development that are in conflict with Law No. 6 of 2014 concerning Villages, which generates complications in the field. One of the implications of the contradiction of Law No. 23 of 2014 with Law No. 6 of 2014 is the lack of support from the local government for the village.</w:t>
      </w:r>
    </w:p>
    <w:p w14:paraId="24D53690" w14:textId="3DAA66E4" w:rsidR="00264A0E" w:rsidRPr="00CC519B" w:rsidRDefault="00264A0E" w:rsidP="00CC519B">
      <w:pPr>
        <w:spacing w:after="160" w:line="360" w:lineRule="auto"/>
        <w:rPr>
          <w:rFonts w:ascii="Times New Roman" w:hAnsi="Times New Roman" w:cs="Times New Roman"/>
          <w:sz w:val="20"/>
          <w:szCs w:val="20"/>
          <w:lang w:val="en-US"/>
        </w:rPr>
      </w:pPr>
    </w:p>
    <w:p w14:paraId="7358A06C" w14:textId="67E082FD" w:rsidR="00023D5A" w:rsidRDefault="00277642" w:rsidP="00CC519B">
      <w:pPr>
        <w:spacing w:line="360" w:lineRule="auto"/>
        <w:jc w:val="center"/>
        <w:rPr>
          <w:rFonts w:ascii="Times New Roman" w:hAnsi="Times New Roman" w:cs="Times New Roman"/>
          <w:b/>
          <w:bCs/>
          <w:sz w:val="20"/>
          <w:szCs w:val="20"/>
          <w:lang w:val="en-US"/>
        </w:rPr>
      </w:pPr>
      <w:r w:rsidRPr="00CC519B">
        <w:rPr>
          <w:rFonts w:ascii="Times New Roman" w:hAnsi="Times New Roman" w:cs="Times New Roman"/>
          <w:b/>
          <w:bCs/>
          <w:sz w:val="20"/>
          <w:szCs w:val="20"/>
          <w:lang w:val="en-US"/>
        </w:rPr>
        <w:lastRenderedPageBreak/>
        <w:t>Bibliography</w:t>
      </w:r>
    </w:p>
    <w:p w14:paraId="21D3D160" w14:textId="1043E1BB"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Pr>
          <w:rFonts w:ascii="Times New Roman" w:hAnsi="Times New Roman" w:cs="Times New Roman"/>
          <w:b/>
          <w:bCs/>
          <w:sz w:val="20"/>
          <w:szCs w:val="20"/>
          <w:lang w:val="en-US"/>
        </w:rPr>
        <w:fldChar w:fldCharType="begin" w:fldLock="1"/>
      </w:r>
      <w:r>
        <w:rPr>
          <w:rFonts w:ascii="Times New Roman" w:hAnsi="Times New Roman" w:cs="Times New Roman"/>
          <w:b/>
          <w:bCs/>
          <w:sz w:val="20"/>
          <w:szCs w:val="20"/>
          <w:lang w:val="en-US"/>
        </w:rPr>
        <w:instrText xml:space="preserve">ADDIN Mendeley Bibliography CSL_BIBLIOGRAPHY </w:instrText>
      </w:r>
      <w:r>
        <w:rPr>
          <w:rFonts w:ascii="Times New Roman" w:hAnsi="Times New Roman" w:cs="Times New Roman"/>
          <w:b/>
          <w:bCs/>
          <w:sz w:val="20"/>
          <w:szCs w:val="20"/>
          <w:lang w:val="en-US"/>
        </w:rPr>
        <w:fldChar w:fldCharType="separate"/>
      </w:r>
      <w:r w:rsidRPr="00267EEB">
        <w:rPr>
          <w:rFonts w:ascii="Times New Roman" w:hAnsi="Times New Roman" w:cs="Times New Roman"/>
          <w:noProof/>
          <w:sz w:val="20"/>
          <w:szCs w:val="24"/>
        </w:rPr>
        <w:t xml:space="preserve">Badrudin, R. and Siregar, B. (2015) ‘The evaluation of the implementation of regional autonomy in Indonesia’, </w:t>
      </w:r>
      <w:r w:rsidRPr="00267EEB">
        <w:rPr>
          <w:rFonts w:ascii="Times New Roman" w:hAnsi="Times New Roman" w:cs="Times New Roman"/>
          <w:i/>
          <w:iCs/>
          <w:noProof/>
          <w:sz w:val="20"/>
          <w:szCs w:val="24"/>
        </w:rPr>
        <w:t>Economic Journal of Emerging Markets</w:t>
      </w:r>
      <w:r w:rsidRPr="00267EEB">
        <w:rPr>
          <w:rFonts w:ascii="Times New Roman" w:hAnsi="Times New Roman" w:cs="Times New Roman"/>
          <w:noProof/>
          <w:sz w:val="20"/>
          <w:szCs w:val="24"/>
        </w:rPr>
        <w:t>, 7(1), pp. 1–11. doi:10.20885/ejem.vol7.iss1.art1.</w:t>
      </w:r>
    </w:p>
    <w:p w14:paraId="561420B9"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Dewata, E. </w:t>
      </w:r>
      <w:r w:rsidRPr="00267EEB">
        <w:rPr>
          <w:rFonts w:ascii="Times New Roman" w:hAnsi="Times New Roman" w:cs="Times New Roman"/>
          <w:i/>
          <w:iCs/>
          <w:noProof/>
          <w:sz w:val="20"/>
          <w:szCs w:val="24"/>
        </w:rPr>
        <w:t>et al.</w:t>
      </w:r>
      <w:r w:rsidRPr="00267EEB">
        <w:rPr>
          <w:rFonts w:ascii="Times New Roman" w:hAnsi="Times New Roman" w:cs="Times New Roman"/>
          <w:noProof/>
          <w:sz w:val="20"/>
          <w:szCs w:val="24"/>
        </w:rPr>
        <w:t xml:space="preserve"> (2018) ‘The Effects of Local Government Characteristics and Audit Opinion on the Performance of District and City Governments in Indonesia’, </w:t>
      </w:r>
      <w:r w:rsidRPr="00267EEB">
        <w:rPr>
          <w:rFonts w:ascii="Times New Roman" w:hAnsi="Times New Roman" w:cs="Times New Roman"/>
          <w:i/>
          <w:iCs/>
          <w:noProof/>
          <w:sz w:val="20"/>
          <w:szCs w:val="24"/>
        </w:rPr>
        <w:t>Jurnal Dinamika Akuntansi dan Bisnis</w:t>
      </w:r>
      <w:r w:rsidRPr="00267EEB">
        <w:rPr>
          <w:rFonts w:ascii="Times New Roman" w:hAnsi="Times New Roman" w:cs="Times New Roman"/>
          <w:noProof/>
          <w:sz w:val="20"/>
          <w:szCs w:val="24"/>
        </w:rPr>
        <w:t>, 5(2), pp. 151–162. doi:10.24815/jdab.v5i2.9057.</w:t>
      </w:r>
    </w:p>
    <w:p w14:paraId="5D3832AC"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Dewi, N.I.K. </w:t>
      </w:r>
      <w:r w:rsidRPr="00267EEB">
        <w:rPr>
          <w:rFonts w:ascii="Times New Roman" w:hAnsi="Times New Roman" w:cs="Times New Roman"/>
          <w:i/>
          <w:iCs/>
          <w:noProof/>
          <w:sz w:val="20"/>
          <w:szCs w:val="24"/>
        </w:rPr>
        <w:t>et al.</w:t>
      </w:r>
      <w:r w:rsidRPr="00267EEB">
        <w:rPr>
          <w:rFonts w:ascii="Times New Roman" w:hAnsi="Times New Roman" w:cs="Times New Roman"/>
          <w:noProof/>
          <w:sz w:val="20"/>
          <w:szCs w:val="24"/>
        </w:rPr>
        <w:t xml:space="preserve"> (2018) ‘Exploring the potential of cultural villages as a model of community based tourism’, </w:t>
      </w:r>
      <w:r w:rsidRPr="00267EEB">
        <w:rPr>
          <w:rFonts w:ascii="Times New Roman" w:hAnsi="Times New Roman" w:cs="Times New Roman"/>
          <w:i/>
          <w:iCs/>
          <w:noProof/>
          <w:sz w:val="20"/>
          <w:szCs w:val="24"/>
        </w:rPr>
        <w:t>Journal of Physics: Conference Series</w:t>
      </w:r>
      <w:r w:rsidRPr="00267EEB">
        <w:rPr>
          <w:rFonts w:ascii="Times New Roman" w:hAnsi="Times New Roman" w:cs="Times New Roman"/>
          <w:noProof/>
          <w:sz w:val="20"/>
          <w:szCs w:val="24"/>
        </w:rPr>
        <w:t>, 953(1). doi:10.1088/1742-6596/953/1/012072.</w:t>
      </w:r>
    </w:p>
    <w:p w14:paraId="4FFCC5AD"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Fadhal, M. </w:t>
      </w:r>
      <w:r w:rsidRPr="00267EEB">
        <w:rPr>
          <w:rFonts w:ascii="Times New Roman" w:hAnsi="Times New Roman" w:cs="Times New Roman"/>
          <w:i/>
          <w:iCs/>
          <w:noProof/>
          <w:sz w:val="20"/>
          <w:szCs w:val="24"/>
        </w:rPr>
        <w:t>et al.</w:t>
      </w:r>
      <w:r w:rsidRPr="00267EEB">
        <w:rPr>
          <w:rFonts w:ascii="Times New Roman" w:hAnsi="Times New Roman" w:cs="Times New Roman"/>
          <w:noProof/>
          <w:sz w:val="20"/>
          <w:szCs w:val="24"/>
        </w:rPr>
        <w:t xml:space="preserve"> (2021) ‘Village Fund Management: Pattern of Community Participation for Village Development’, </w:t>
      </w:r>
      <w:r w:rsidRPr="00267EEB">
        <w:rPr>
          <w:rFonts w:ascii="Times New Roman" w:hAnsi="Times New Roman" w:cs="Times New Roman"/>
          <w:i/>
          <w:iCs/>
          <w:noProof/>
          <w:sz w:val="20"/>
          <w:szCs w:val="24"/>
        </w:rPr>
        <w:t>International Journal of Multicultural and Multireligious Understanding</w:t>
      </w:r>
      <w:r w:rsidRPr="00267EEB">
        <w:rPr>
          <w:rFonts w:ascii="Times New Roman" w:hAnsi="Times New Roman" w:cs="Times New Roman"/>
          <w:noProof/>
          <w:sz w:val="20"/>
          <w:szCs w:val="24"/>
        </w:rPr>
        <w:t>, 8(3), p. 65. doi:10.18415/ijmmu.v8i3.2377.</w:t>
      </w:r>
    </w:p>
    <w:p w14:paraId="2F386BD8"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Fitriyani, L.Y. </w:t>
      </w:r>
      <w:r w:rsidRPr="00267EEB">
        <w:rPr>
          <w:rFonts w:ascii="Times New Roman" w:hAnsi="Times New Roman" w:cs="Times New Roman"/>
          <w:i/>
          <w:iCs/>
          <w:noProof/>
          <w:sz w:val="20"/>
          <w:szCs w:val="24"/>
        </w:rPr>
        <w:t>et al.</w:t>
      </w:r>
      <w:r w:rsidRPr="00267EEB">
        <w:rPr>
          <w:rFonts w:ascii="Times New Roman" w:hAnsi="Times New Roman" w:cs="Times New Roman"/>
          <w:noProof/>
          <w:sz w:val="20"/>
          <w:szCs w:val="24"/>
        </w:rPr>
        <w:t xml:space="preserve"> (2018) ‘Determinants of Village Fund Allocation’, </w:t>
      </w:r>
      <w:r w:rsidRPr="00267EEB">
        <w:rPr>
          <w:rFonts w:ascii="Times New Roman" w:hAnsi="Times New Roman" w:cs="Times New Roman"/>
          <w:i/>
          <w:iCs/>
          <w:noProof/>
          <w:sz w:val="20"/>
          <w:szCs w:val="24"/>
        </w:rPr>
        <w:t>Jurnal Akuntansi Multiparadigma</w:t>
      </w:r>
      <w:r w:rsidRPr="00267EEB">
        <w:rPr>
          <w:rFonts w:ascii="Times New Roman" w:hAnsi="Times New Roman" w:cs="Times New Roman"/>
          <w:noProof/>
          <w:sz w:val="20"/>
          <w:szCs w:val="24"/>
        </w:rPr>
        <w:t>, 9(3), pp. 526–539. doi:10.18202/jamal.2018.04.9031.</w:t>
      </w:r>
    </w:p>
    <w:p w14:paraId="228E09D3"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Hastuti (2021) ‘Village Financial Management Towards Village Fund Policy For Community Empowerment’, </w:t>
      </w:r>
      <w:r w:rsidRPr="00267EEB">
        <w:rPr>
          <w:rFonts w:ascii="Times New Roman" w:hAnsi="Times New Roman" w:cs="Times New Roman"/>
          <w:i/>
          <w:iCs/>
          <w:noProof/>
          <w:sz w:val="20"/>
          <w:szCs w:val="24"/>
        </w:rPr>
        <w:t>International Journal of Science, Technology &amp; Management</w:t>
      </w:r>
      <w:r w:rsidRPr="00267EEB">
        <w:rPr>
          <w:rFonts w:ascii="Times New Roman" w:hAnsi="Times New Roman" w:cs="Times New Roman"/>
          <w:noProof/>
          <w:sz w:val="20"/>
          <w:szCs w:val="24"/>
        </w:rPr>
        <w:t>, 2(4), pp. 1249–1257. doi:10.46729/ijstm.v2i4.267.</w:t>
      </w:r>
    </w:p>
    <w:p w14:paraId="3E1B9AA6"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Husna, C.A. and Mardhiah, N. (2019) ‘Public Participation In Rural Development Playning’, </w:t>
      </w:r>
      <w:r w:rsidRPr="00267EEB">
        <w:rPr>
          <w:rFonts w:ascii="Times New Roman" w:hAnsi="Times New Roman" w:cs="Times New Roman"/>
          <w:i/>
          <w:iCs/>
          <w:noProof/>
          <w:sz w:val="20"/>
          <w:szCs w:val="24"/>
        </w:rPr>
        <w:t>Jurnal Community</w:t>
      </w:r>
      <w:r w:rsidRPr="00267EEB">
        <w:rPr>
          <w:rFonts w:ascii="Times New Roman" w:hAnsi="Times New Roman" w:cs="Times New Roman"/>
          <w:noProof/>
          <w:sz w:val="20"/>
          <w:szCs w:val="24"/>
        </w:rPr>
        <w:t>, 4(2), pp. 57–65. doi:10.35308/jcpds.v4i2.994.</w:t>
      </w:r>
    </w:p>
    <w:p w14:paraId="4408B895"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Kristina Eti, S.D.R. (2019) ‘Analisis Pengelolaan Alokasi Dana Desa Dalam Pembangunan Desa’, </w:t>
      </w:r>
      <w:r w:rsidRPr="00267EEB">
        <w:rPr>
          <w:rFonts w:ascii="Times New Roman" w:hAnsi="Times New Roman" w:cs="Times New Roman"/>
          <w:i/>
          <w:iCs/>
          <w:noProof/>
          <w:sz w:val="20"/>
          <w:szCs w:val="24"/>
        </w:rPr>
        <w:t>Ilmu Sosial dan Ilmu Politik</w:t>
      </w:r>
      <w:r w:rsidRPr="00267EEB">
        <w:rPr>
          <w:rFonts w:ascii="Times New Roman" w:hAnsi="Times New Roman" w:cs="Times New Roman"/>
          <w:noProof/>
          <w:sz w:val="20"/>
          <w:szCs w:val="24"/>
        </w:rPr>
        <w:t>, 8(3).</w:t>
      </w:r>
    </w:p>
    <w:p w14:paraId="1D9E03A6"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Rahayu, D. (2017) ‘Economics Development Analysis Journal Strategi Pengelolaan Dana Desa untuk Meningkatkan Kesejahteraan Masyarakat Desa Kalikayen Kabupaten Semarang Depi Rahayu 1</w:t>
      </w:r>
      <w:r w:rsidRPr="00267EEB">
        <w:rPr>
          <w:rFonts w:ascii="Times New Roman" w:hAnsi="Times New Roman" w:cs="Times New Roman"/>
          <w:noProof/>
          <w:sz w:val="20"/>
          <w:szCs w:val="24"/>
        </w:rPr>
        <w:t xml:space="preserve">’, </w:t>
      </w:r>
      <w:r w:rsidRPr="00267EEB">
        <w:rPr>
          <w:rFonts w:ascii="Times New Roman" w:hAnsi="Times New Roman" w:cs="Times New Roman"/>
          <w:i/>
          <w:iCs/>
          <w:noProof/>
          <w:sz w:val="20"/>
          <w:szCs w:val="24"/>
        </w:rPr>
        <w:t>Economics Development Analysis Journal</w:t>
      </w:r>
      <w:r w:rsidRPr="00267EEB">
        <w:rPr>
          <w:rFonts w:ascii="Times New Roman" w:hAnsi="Times New Roman" w:cs="Times New Roman"/>
          <w:noProof/>
          <w:sz w:val="20"/>
          <w:szCs w:val="24"/>
        </w:rPr>
        <w:t>, 6(2), pp. 107–116. Available at: http://journal.unnes.ac.id/sju/index.php/edaj.</w:t>
      </w:r>
    </w:p>
    <w:p w14:paraId="51FEB0C6"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szCs w:val="24"/>
        </w:rPr>
      </w:pPr>
      <w:r w:rsidRPr="00267EEB">
        <w:rPr>
          <w:rFonts w:ascii="Times New Roman" w:hAnsi="Times New Roman" w:cs="Times New Roman"/>
          <w:noProof/>
          <w:sz w:val="20"/>
          <w:szCs w:val="24"/>
        </w:rPr>
        <w:t xml:space="preserve">Semaun, F. (2019) ‘PENYELENGGARAAN PEMERINTAHAN DESA’, </w:t>
      </w:r>
      <w:r w:rsidRPr="00267EEB">
        <w:rPr>
          <w:rFonts w:ascii="Times New Roman" w:hAnsi="Times New Roman" w:cs="Times New Roman"/>
          <w:i/>
          <w:iCs/>
          <w:noProof/>
          <w:sz w:val="20"/>
          <w:szCs w:val="24"/>
        </w:rPr>
        <w:t>JURNAL PEKAN : Jurnal Pendidikan Kewarganegaraan</w:t>
      </w:r>
      <w:r w:rsidRPr="00267EEB">
        <w:rPr>
          <w:rFonts w:ascii="Times New Roman" w:hAnsi="Times New Roman" w:cs="Times New Roman"/>
          <w:noProof/>
          <w:sz w:val="20"/>
          <w:szCs w:val="24"/>
        </w:rPr>
        <w:t>, 4(1). doi:10.31932/jpk.v4i1.373.</w:t>
      </w:r>
    </w:p>
    <w:p w14:paraId="32D081FC" w14:textId="77777777" w:rsidR="00267EEB" w:rsidRPr="00267EEB" w:rsidRDefault="00267EEB" w:rsidP="00267EEB">
      <w:pPr>
        <w:widowControl w:val="0"/>
        <w:autoSpaceDE w:val="0"/>
        <w:autoSpaceDN w:val="0"/>
        <w:adjustRightInd w:val="0"/>
        <w:spacing w:line="360" w:lineRule="auto"/>
        <w:rPr>
          <w:rFonts w:ascii="Times New Roman" w:hAnsi="Times New Roman" w:cs="Times New Roman"/>
          <w:noProof/>
          <w:sz w:val="20"/>
        </w:rPr>
      </w:pPr>
      <w:r w:rsidRPr="00267EEB">
        <w:rPr>
          <w:rFonts w:ascii="Times New Roman" w:hAnsi="Times New Roman" w:cs="Times New Roman"/>
          <w:noProof/>
          <w:sz w:val="20"/>
          <w:szCs w:val="24"/>
        </w:rPr>
        <w:t xml:space="preserve">Widnyana, I.K., Karunia, I.P. and Sujana, I.P. (2020) ‘Strategy for Development of Tourist Village in Bali Island’, </w:t>
      </w:r>
      <w:r w:rsidRPr="00267EEB">
        <w:rPr>
          <w:rFonts w:ascii="Times New Roman" w:hAnsi="Times New Roman" w:cs="Times New Roman"/>
          <w:i/>
          <w:iCs/>
          <w:noProof/>
          <w:sz w:val="20"/>
          <w:szCs w:val="24"/>
        </w:rPr>
        <w:t>International Journal of Research -GRANTHAALAYAH</w:t>
      </w:r>
      <w:r w:rsidRPr="00267EEB">
        <w:rPr>
          <w:rFonts w:ascii="Times New Roman" w:hAnsi="Times New Roman" w:cs="Times New Roman"/>
          <w:noProof/>
          <w:sz w:val="20"/>
          <w:szCs w:val="24"/>
        </w:rPr>
        <w:t>, 8(3), pp. 324–330. doi:10.29121/granthaalayah.v8.i3.2020.164.</w:t>
      </w:r>
    </w:p>
    <w:p w14:paraId="2B0E1787" w14:textId="20C5DFE1" w:rsidR="00267EEB" w:rsidRPr="00CC519B" w:rsidRDefault="00267EEB" w:rsidP="00267EEB">
      <w:pPr>
        <w:spacing w:line="36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fldChar w:fldCharType="end"/>
      </w:r>
    </w:p>
    <w:p w14:paraId="2BE6AEAA" w14:textId="62849A75" w:rsidR="00267EEB" w:rsidRPr="00CC519B" w:rsidRDefault="00267EEB" w:rsidP="00CC519B">
      <w:pPr>
        <w:spacing w:line="360" w:lineRule="auto"/>
        <w:jc w:val="center"/>
        <w:rPr>
          <w:rFonts w:ascii="Times New Roman" w:hAnsi="Times New Roman" w:cs="Times New Roman"/>
          <w:b/>
          <w:bCs/>
          <w:sz w:val="20"/>
          <w:szCs w:val="20"/>
          <w:lang w:val="en-US"/>
        </w:rPr>
      </w:pPr>
    </w:p>
    <w:p w14:paraId="5265CD94" w14:textId="0F01A51E" w:rsidR="00023D5A" w:rsidRPr="00CC519B" w:rsidRDefault="00023D5A" w:rsidP="00CC519B">
      <w:pPr>
        <w:spacing w:line="360" w:lineRule="auto"/>
        <w:rPr>
          <w:rFonts w:ascii="Times New Roman" w:hAnsi="Times New Roman" w:cs="Times New Roman"/>
          <w:sz w:val="20"/>
          <w:szCs w:val="20"/>
        </w:rPr>
      </w:pPr>
    </w:p>
    <w:sectPr w:rsidR="00023D5A" w:rsidRPr="00CC519B" w:rsidSect="00CC519B">
      <w:pgSz w:w="11906" w:h="16838"/>
      <w:pgMar w:top="2835" w:right="1418" w:bottom="226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45BC8"/>
    <w:multiLevelType w:val="hybridMultilevel"/>
    <w:tmpl w:val="52C4AB02"/>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752893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D5A"/>
    <w:rsid w:val="00023D5A"/>
    <w:rsid w:val="000A471E"/>
    <w:rsid w:val="00124CF3"/>
    <w:rsid w:val="001B36B4"/>
    <w:rsid w:val="001E66FA"/>
    <w:rsid w:val="001F778B"/>
    <w:rsid w:val="00204AD1"/>
    <w:rsid w:val="00264A0E"/>
    <w:rsid w:val="00267EEB"/>
    <w:rsid w:val="00277642"/>
    <w:rsid w:val="00283734"/>
    <w:rsid w:val="004111D0"/>
    <w:rsid w:val="00423142"/>
    <w:rsid w:val="00484325"/>
    <w:rsid w:val="00520FB1"/>
    <w:rsid w:val="00521CFD"/>
    <w:rsid w:val="005816EC"/>
    <w:rsid w:val="006031E1"/>
    <w:rsid w:val="00605C13"/>
    <w:rsid w:val="00610AAF"/>
    <w:rsid w:val="006A787C"/>
    <w:rsid w:val="006F1A36"/>
    <w:rsid w:val="00795B58"/>
    <w:rsid w:val="007B36FD"/>
    <w:rsid w:val="007E356A"/>
    <w:rsid w:val="007E4E92"/>
    <w:rsid w:val="0082431B"/>
    <w:rsid w:val="00881A6F"/>
    <w:rsid w:val="00884C37"/>
    <w:rsid w:val="009A67F3"/>
    <w:rsid w:val="00A16765"/>
    <w:rsid w:val="00B17298"/>
    <w:rsid w:val="00B73003"/>
    <w:rsid w:val="00B73028"/>
    <w:rsid w:val="00BC71C2"/>
    <w:rsid w:val="00CC519B"/>
    <w:rsid w:val="00CE589C"/>
    <w:rsid w:val="00CF3801"/>
    <w:rsid w:val="00D15113"/>
    <w:rsid w:val="00D471FE"/>
    <w:rsid w:val="00D85E90"/>
    <w:rsid w:val="00E02462"/>
    <w:rsid w:val="00E217F7"/>
    <w:rsid w:val="00E424BD"/>
    <w:rsid w:val="00E736AE"/>
    <w:rsid w:val="00EA092B"/>
    <w:rsid w:val="00F246FA"/>
    <w:rsid w:val="00F50365"/>
    <w:rsid w:val="00F73BBB"/>
    <w:rsid w:val="00F8629B"/>
    <w:rsid w:val="00FA4D6F"/>
    <w:rsid w:val="00FE36C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06CF0"/>
  <w15:chartTrackingRefBased/>
  <w15:docId w15:val="{22666D40-0528-4D5C-8F54-4B5067FB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D5A"/>
    <w:pPr>
      <w:spacing w:after="0" w:line="240" w:lineRule="auto"/>
    </w:pPr>
    <w:rPr>
      <w:rFonts w:eastAsiaTheme="minorEastAsia"/>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23D5A"/>
    <w:rPr>
      <w:rFonts w:ascii=".AppleSystemUIFont" w:hAnsi=".AppleSystemUIFont" w:cs="Times New Roman"/>
      <w:sz w:val="26"/>
      <w:szCs w:val="26"/>
    </w:rPr>
  </w:style>
  <w:style w:type="character" w:customStyle="1" w:styleId="s1">
    <w:name w:val="s1"/>
    <w:basedOn w:val="DefaultParagraphFont"/>
    <w:rsid w:val="00023D5A"/>
    <w:rPr>
      <w:rFonts w:ascii=".SFUI-Regular" w:hAnsi=".SFUI-Regular" w:hint="default"/>
      <w:b w:val="0"/>
      <w:bCs w:val="0"/>
      <w:i w:val="0"/>
      <w:iCs w:val="0"/>
      <w:sz w:val="26"/>
      <w:szCs w:val="26"/>
    </w:rPr>
  </w:style>
  <w:style w:type="character" w:customStyle="1" w:styleId="apple-converted-space">
    <w:name w:val="apple-converted-space"/>
    <w:basedOn w:val="DefaultParagraphFont"/>
    <w:rsid w:val="00023D5A"/>
  </w:style>
  <w:style w:type="paragraph" w:styleId="ListParagraph">
    <w:name w:val="List Paragraph"/>
    <w:basedOn w:val="Normal"/>
    <w:uiPriority w:val="34"/>
    <w:qFormat/>
    <w:rsid w:val="00023D5A"/>
    <w:pPr>
      <w:ind w:left="720"/>
      <w:contextualSpacing/>
    </w:pPr>
  </w:style>
  <w:style w:type="table" w:styleId="TableGrid">
    <w:name w:val="Table Grid"/>
    <w:basedOn w:val="TableNormal"/>
    <w:uiPriority w:val="39"/>
    <w:rsid w:val="00023D5A"/>
    <w:pPr>
      <w:spacing w:after="0" w:line="240" w:lineRule="auto"/>
    </w:pPr>
    <w:rPr>
      <w:rFonts w:eastAsiaTheme="minorEastAsia"/>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1C2"/>
    <w:rPr>
      <w:color w:val="0563C1" w:themeColor="hyperlink"/>
      <w:u w:val="single"/>
    </w:rPr>
  </w:style>
  <w:style w:type="character" w:customStyle="1" w:styleId="UnresolvedMention1">
    <w:name w:val="Unresolved Mention1"/>
    <w:basedOn w:val="DefaultParagraphFont"/>
    <w:uiPriority w:val="99"/>
    <w:semiHidden/>
    <w:unhideWhenUsed/>
    <w:rsid w:val="00BC7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619B0-E033-4E7E-81CF-9AE7975E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6864</Words>
  <Characters>39125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akmal al</dc:creator>
  <cp:keywords/>
  <dc:description/>
  <cp:lastModifiedBy>akmal al</cp:lastModifiedBy>
  <cp:revision>31</cp:revision>
  <dcterms:created xsi:type="dcterms:W3CDTF">2022-06-07T12:18:00Z</dcterms:created>
  <dcterms:modified xsi:type="dcterms:W3CDTF">2022-06-14T04:27:00Z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11th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2dbeba03-3def-3f1a-a770-986bc1a00dc5</vt:lpwstr>
  </property>
  <property fmtid="{D5CDD505-2E9C-101B-9397-08002B2CF9AE}" pid="24" name="Mendeley Citation Style_1">
    <vt:lpwstr>http://www.zotero.org/styles/harvard-cite-them-right</vt:lpwstr>
  </property>
</Properties>
</file>